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_rels/chart1.xml.rels" ContentType="application/vnd.openxmlformats-package.relationships+xml"/>
  <Override PartName="/word/charts/_rels/chart2.xml.rels" ContentType="application/vnd.openxmlformats-package.relationships+xml"/>
  <Override PartName="/word/charts/_rels/chart3.xml.rels" ContentType="application/vnd.openxmlformats-package.relationships+xml"/>
  <Override PartName="/word/charts/_rels/chart4.xml.rels" ContentType="application/vnd.openxmlformats-package.relationships+xml"/>
  <Override PartName="/word/charts/_rels/chart5.xml.rels" ContentType="application/vnd.openxmlformats-package.relationships+xml"/>
  <Override PartName="/word/charts/_rels/chart10.xml.rels" ContentType="application/vnd.openxmlformats-package.relationships+xml"/>
  <Override PartName="/word/charts/_rels/chart6.xml.rels" ContentType="application/vnd.openxmlformats-package.relationships+xml"/>
  <Override PartName="/word/charts/_rels/chart7.xml.rels" ContentType="application/vnd.openxmlformats-package.relationships+xml"/>
  <Override PartName="/word/charts/_rels/chart8.xml.rels" ContentType="application/vnd.openxmlformats-package.relationships+xml"/>
  <Override PartName="/word/charts/_rels/chart9.xml.rels" ContentType="application/vnd.openxmlformats-package.relationship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embeddings/Microsoft_Excel_Worksheet3.xlsx" ContentType="application/vnd.openxmlformats-officedocument.spreadsheetml.sheet"/>
  <Override PartName="/word/embeddings/Microsoft_Excel_Worksheet.xlsx" ContentType="application/vnd.openxmlformats-officedocument.spreadsheetml.sheet"/>
  <Override PartName="/word/embeddings/Microsoft_Excel_Worksheet8.xlsx" ContentType="application/vnd.openxmlformats-officedocument.spreadsheetml.sheet"/>
  <Override PartName="/word/embeddings/Microsoft_Excel_Worksheet2.xlsx" ContentType="application/vnd.openxmlformats-officedocument.spreadsheetml.sheet"/>
  <Override PartName="/word/embeddings/Microsoft_Excel_Worksheet7.xlsx" ContentType="application/vnd.openxmlformats-officedocument.spreadsheetml.sheet"/>
  <Override PartName="/word/embeddings/Microsoft_Excel_Worksheet1.xlsx" ContentType="application/vnd.openxmlformats-officedocument.spreadsheetml.sheet"/>
  <Override PartName="/word/embeddings/Microsoft_Excel_Worksheet6.xlsx" ContentType="application/vnd.openxmlformats-officedocument.spreadsheetml.sheet"/>
  <Override PartName="/word/embeddings/Microsoft_Excel_Worksheet5.xlsx" ContentType="application/vnd.openxmlformats-officedocument.spreadsheetml.sheet"/>
  <Override PartName="/word/embeddings/Microsoft_Excel_Worksheet4.xlsx" ContentType="application/vnd.openxmlformats-officedocument.spreadsheetml.sheet"/>
  <Override PartName="/word/embeddings/Microsoft_Excel_Worksheet9.xlsx" ContentType="application/vnd.openxmlformats-officedocument.spreadsheetml.sheet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2"/>
        <w:spacing w:lineRule="auto" w:line="276" w:before="81" w:after="0"/>
        <w:ind w:left="662" w:right="4976" w:hang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  <w:r>
        <w:rPr>
          <w:sz w:val="28"/>
          <w:szCs w:val="28"/>
        </w:rPr>
        <w:t>СПРАВКА</w:t>
      </w:r>
    </w:p>
    <w:p>
      <w:pPr>
        <w:pStyle w:val="Normal"/>
        <w:spacing w:lineRule="auto" w:line="276" w:before="13" w:after="0"/>
        <w:ind w:left="590" w:right="792" w:hanging="363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по результатам педагогической диагностики (мониторинга) освоения детьми образовательной</w:t>
      </w:r>
      <w:r>
        <w:rPr>
          <w:b/>
          <w:spacing w:val="-52"/>
          <w:sz w:val="28"/>
          <w:szCs w:val="28"/>
        </w:rPr>
        <w:t xml:space="preserve"> </w:t>
      </w:r>
      <w:r>
        <w:rPr>
          <w:b/>
          <w:sz w:val="28"/>
          <w:szCs w:val="28"/>
        </w:rPr>
        <w:t>программы</w:t>
      </w:r>
      <w:r>
        <w:rPr>
          <w:b/>
          <w:spacing w:val="-4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дошкольного образования </w:t>
      </w:r>
    </w:p>
    <w:p>
      <w:pPr>
        <w:pStyle w:val="Normal"/>
        <w:spacing w:lineRule="auto" w:line="276" w:before="13" w:after="0"/>
        <w:ind w:left="590" w:right="792" w:hanging="363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за 2022-2023 учебный</w:t>
      </w:r>
      <w:r>
        <w:rPr>
          <w:b/>
          <w:spacing w:val="-5"/>
          <w:sz w:val="28"/>
          <w:szCs w:val="28"/>
        </w:rPr>
        <w:t xml:space="preserve"> </w:t>
      </w:r>
      <w:r>
        <w:rPr>
          <w:b/>
          <w:sz w:val="28"/>
          <w:szCs w:val="28"/>
        </w:rPr>
        <w:t>год</w:t>
      </w:r>
    </w:p>
    <w:p>
      <w:pPr>
        <w:pStyle w:val="Style13"/>
        <w:spacing w:lineRule="auto" w:line="276" w:before="3" w:after="0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Style13"/>
        <w:spacing w:lineRule="auto" w:line="276" w:before="1" w:after="0"/>
        <w:ind w:left="122" w:hanging="0"/>
        <w:jc w:val="both"/>
        <w:rPr>
          <w:sz w:val="28"/>
          <w:szCs w:val="28"/>
        </w:rPr>
      </w:pPr>
      <w:r>
        <w:rPr>
          <w:b/>
          <w:sz w:val="28"/>
          <w:szCs w:val="28"/>
          <w:u w:val="thick"/>
        </w:rPr>
        <w:t>Основание</w:t>
      </w:r>
      <w:r>
        <w:rPr>
          <w:sz w:val="28"/>
          <w:szCs w:val="28"/>
          <w:u w:val="thick"/>
        </w:rPr>
        <w:t>: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Приказ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«О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педагогической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диагностики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(мониторинга)»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11.09.2020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25</w:t>
      </w:r>
    </w:p>
    <w:p>
      <w:pPr>
        <w:pStyle w:val="Style13"/>
        <w:spacing w:lineRule="auto" w:line="276" w:before="23" w:after="0"/>
        <w:ind w:left="122" w:right="105" w:hanging="0"/>
        <w:jc w:val="both"/>
        <w:rPr>
          <w:sz w:val="28"/>
          <w:szCs w:val="28"/>
        </w:rPr>
      </w:pPr>
      <w:r>
        <w:rPr>
          <w:b/>
          <w:sz w:val="28"/>
          <w:szCs w:val="28"/>
          <w:u w:val="thick"/>
        </w:rPr>
        <w:t>Цель:</w:t>
      </w:r>
      <w:r>
        <w:rPr>
          <w:b/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определение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уровня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освоения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образовательной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программы,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изучение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динамики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достижений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воспитанниками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всем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направлениям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развития, построение</w:t>
      </w:r>
      <w:r>
        <w:rPr>
          <w:spacing w:val="56"/>
          <w:sz w:val="28"/>
          <w:szCs w:val="28"/>
        </w:rPr>
        <w:t xml:space="preserve"> </w:t>
      </w:r>
      <w:r>
        <w:rPr>
          <w:sz w:val="28"/>
          <w:szCs w:val="28"/>
        </w:rPr>
        <w:t>образовательной</w:t>
      </w:r>
      <w:r>
        <w:rPr>
          <w:spacing w:val="56"/>
          <w:sz w:val="28"/>
          <w:szCs w:val="28"/>
        </w:rPr>
        <w:t xml:space="preserve"> </w:t>
      </w:r>
      <w:r>
        <w:rPr>
          <w:sz w:val="28"/>
          <w:szCs w:val="28"/>
        </w:rPr>
        <w:t>траектории,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прогнозирование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педагогической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работы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детьми,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определение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эффективности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образовательной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деятельности.</w:t>
      </w:r>
    </w:p>
    <w:p>
      <w:pPr>
        <w:pStyle w:val="Normal"/>
        <w:spacing w:lineRule="auto" w:line="276"/>
        <w:ind w:left="122" w:right="6818" w:hanging="0"/>
        <w:rPr>
          <w:sz w:val="28"/>
          <w:szCs w:val="28"/>
        </w:rPr>
      </w:pPr>
      <w:r>
        <w:rPr>
          <w:b/>
          <w:sz w:val="28"/>
          <w:szCs w:val="28"/>
          <w:u w:val="single"/>
        </w:rPr>
        <w:t>Срок проведения</w:t>
      </w:r>
      <w:r>
        <w:rPr>
          <w:sz w:val="28"/>
          <w:szCs w:val="28"/>
          <w:u w:val="single"/>
        </w:rPr>
        <w:t>: 15.03-29.03.2023г</w:t>
      </w:r>
      <w:r>
        <w:rPr>
          <w:sz w:val="28"/>
          <w:szCs w:val="28"/>
        </w:rPr>
        <w:t>.</w:t>
      </w:r>
    </w:p>
    <w:p>
      <w:pPr>
        <w:pStyle w:val="Normal"/>
        <w:spacing w:lineRule="auto" w:line="276"/>
        <w:ind w:left="122" w:right="6818" w:hanging="0"/>
        <w:rPr>
          <w:sz w:val="28"/>
          <w:szCs w:val="28"/>
        </w:rPr>
      </w:pPr>
      <w:r>
        <w:rPr>
          <w:spacing w:val="-52"/>
          <w:sz w:val="28"/>
          <w:szCs w:val="28"/>
        </w:rPr>
        <w:t xml:space="preserve"> </w:t>
      </w:r>
      <w:r>
        <w:rPr>
          <w:b/>
          <w:sz w:val="28"/>
          <w:szCs w:val="28"/>
          <w:u w:val="thick"/>
        </w:rPr>
        <w:t>Количество</w:t>
      </w:r>
      <w:r>
        <w:rPr>
          <w:b/>
          <w:spacing w:val="-1"/>
          <w:sz w:val="28"/>
          <w:szCs w:val="28"/>
          <w:u w:val="thick"/>
        </w:rPr>
        <w:t xml:space="preserve"> </w:t>
      </w:r>
      <w:r>
        <w:rPr>
          <w:b/>
          <w:sz w:val="28"/>
          <w:szCs w:val="28"/>
          <w:u w:val="thick"/>
        </w:rPr>
        <w:t>детей</w:t>
      </w:r>
      <w:r>
        <w:rPr>
          <w:sz w:val="28"/>
          <w:szCs w:val="28"/>
          <w:u w:val="thick"/>
        </w:rPr>
        <w:t>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21</w:t>
      </w:r>
    </w:p>
    <w:p>
      <w:pPr>
        <w:pStyle w:val="Normal"/>
        <w:spacing w:lineRule="auto" w:line="276"/>
        <w:ind w:left="122" w:hanging="0"/>
        <w:jc w:val="both"/>
        <w:rPr>
          <w:bCs/>
          <w:sz w:val="28"/>
          <w:szCs w:val="28"/>
        </w:rPr>
      </w:pPr>
      <w:r>
        <w:rPr/>
      </w:r>
    </w:p>
    <w:p>
      <w:pPr>
        <w:pStyle w:val="Style13"/>
        <w:spacing w:lineRule="auto" w:line="276" w:before="10" w:after="0"/>
        <w:ind w:left="122" w:right="471" w:hanging="0"/>
        <w:jc w:val="both"/>
        <w:rPr>
          <w:sz w:val="28"/>
          <w:szCs w:val="28"/>
        </w:rPr>
      </w:pPr>
      <w:r>
        <w:rPr>
          <w:sz w:val="28"/>
          <w:szCs w:val="28"/>
        </w:rPr>
        <w:t>Педагогическая диагностика проводилась на основании беседы, наблюдения, анализа продуктов детской</w:t>
      </w:r>
      <w:r>
        <w:rPr>
          <w:spacing w:val="-52"/>
          <w:sz w:val="28"/>
          <w:szCs w:val="28"/>
        </w:rPr>
        <w:t xml:space="preserve"> </w:t>
      </w:r>
      <w:r>
        <w:rPr>
          <w:sz w:val="28"/>
          <w:szCs w:val="28"/>
        </w:rPr>
        <w:t>деятельности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и диагностических заданий.</w:t>
      </w:r>
    </w:p>
    <w:p>
      <w:pPr>
        <w:pStyle w:val="Style13"/>
        <w:spacing w:lineRule="auto" w:line="276" w:before="1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3"/>
        <w:spacing w:lineRule="auto" w:line="276"/>
        <w:ind w:left="122" w:right="473" w:hang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Педагогическая диагностика </w:t>
      </w:r>
      <w:r>
        <w:rPr>
          <w:sz w:val="28"/>
          <w:szCs w:val="28"/>
        </w:rPr>
        <w:t>проводится на основе «Инструментария для педагогической диагностики</w:t>
      </w:r>
      <w:r>
        <w:rPr>
          <w:spacing w:val="-52"/>
          <w:sz w:val="28"/>
          <w:szCs w:val="28"/>
        </w:rPr>
        <w:t xml:space="preserve"> </w:t>
      </w:r>
      <w:r>
        <w:rPr>
          <w:sz w:val="28"/>
          <w:szCs w:val="28"/>
        </w:rPr>
        <w:t>качества образования (через реализацию образовательных областей) по программе «Детский сад - 2100».</w:t>
      </w:r>
      <w:r>
        <w:rPr>
          <w:spacing w:val="-52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результате педагогической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диагностики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было выявлено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следующее:</w:t>
      </w:r>
    </w:p>
    <w:p>
      <w:pPr>
        <w:pStyle w:val="Style13"/>
        <w:spacing w:lineRule="auto" w:line="276" w:before="71" w:after="0"/>
        <w:ind w:left="122" w:right="817" w:hang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Итоговые результаты </w:t>
      </w:r>
      <w:r>
        <w:rPr>
          <w:sz w:val="28"/>
          <w:szCs w:val="28"/>
        </w:rPr>
        <w:t>по достижениям детьми планируемых результатов освоения образовательной</w:t>
      </w:r>
      <w:r>
        <w:rPr>
          <w:spacing w:val="-52"/>
          <w:sz w:val="28"/>
          <w:szCs w:val="28"/>
        </w:rPr>
        <w:t xml:space="preserve"> </w:t>
      </w:r>
      <w:r>
        <w:rPr>
          <w:sz w:val="28"/>
          <w:szCs w:val="28"/>
        </w:rPr>
        <w:t>программы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дошкольного образования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за 2022-2023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учебный год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(начало года).</w:t>
      </w:r>
    </w:p>
    <w:p>
      <w:pPr>
        <w:pStyle w:val="1"/>
        <w:spacing w:lineRule="auto" w:line="276" w:before="208" w:after="0"/>
        <w:jc w:val="both"/>
        <w:rPr>
          <w:sz w:val="28"/>
          <w:szCs w:val="28"/>
          <w:u w:val="none"/>
        </w:rPr>
      </w:pPr>
      <w:r>
        <w:rPr>
          <w:sz w:val="28"/>
          <w:szCs w:val="28"/>
          <w:u w:val="thick"/>
        </w:rPr>
        <w:t>«Речевое</w:t>
      </w:r>
      <w:r>
        <w:rPr>
          <w:spacing w:val="-7"/>
          <w:sz w:val="28"/>
          <w:szCs w:val="28"/>
          <w:u w:val="thick"/>
        </w:rPr>
        <w:t xml:space="preserve"> </w:t>
      </w:r>
      <w:r>
        <w:rPr>
          <w:sz w:val="28"/>
          <w:szCs w:val="28"/>
          <w:u w:val="thick"/>
        </w:rPr>
        <w:t>развитие»</w:t>
      </w:r>
    </w:p>
    <w:p>
      <w:pPr>
        <w:pStyle w:val="2"/>
        <w:spacing w:lineRule="auto" w:line="276" w:before="10" w:after="0"/>
        <w:ind w:left="662" w:right="6818" w:hanging="541"/>
        <w:jc w:val="both"/>
        <w:rPr>
          <w:b w:val="false"/>
          <w:b w:val="false"/>
          <w:sz w:val="28"/>
          <w:szCs w:val="28"/>
        </w:rPr>
      </w:pPr>
      <w:r>
        <w:rPr>
          <w:sz w:val="28"/>
          <w:szCs w:val="28"/>
        </w:rPr>
        <w:t>Количественный анализ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Обследовано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детей</w:t>
      </w:r>
      <w:r>
        <w:rPr>
          <w:b w:val="false"/>
          <w:sz w:val="28"/>
          <w:szCs w:val="28"/>
        </w:rPr>
        <w:t>:</w:t>
      </w:r>
      <w:r>
        <w:rPr>
          <w:b w:val="false"/>
          <w:spacing w:val="-6"/>
          <w:sz w:val="28"/>
          <w:szCs w:val="28"/>
        </w:rPr>
        <w:t xml:space="preserve"> </w:t>
      </w:r>
      <w:r>
        <w:rPr>
          <w:b w:val="false"/>
          <w:sz w:val="28"/>
          <w:szCs w:val="28"/>
        </w:rPr>
        <w:t>21</w:t>
      </w:r>
    </w:p>
    <w:p>
      <w:pPr>
        <w:pStyle w:val="Style13"/>
        <w:spacing w:lineRule="auto" w:line="276" w:before="1" w:after="0"/>
        <w:ind w:left="662" w:hanging="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(20%)</w:t>
      </w:r>
    </w:p>
    <w:p>
      <w:pPr>
        <w:pStyle w:val="Style13"/>
        <w:spacing w:lineRule="auto" w:line="276" w:before="21" w:after="0"/>
        <w:ind w:left="662" w:hanging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(70%)</w:t>
      </w:r>
    </w:p>
    <w:p>
      <w:pPr>
        <w:pStyle w:val="Style13"/>
        <w:spacing w:lineRule="auto" w:line="276" w:before="20" w:after="0"/>
        <w:ind w:left="662" w:hanging="0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(10%)</w:t>
      </w:r>
    </w:p>
    <w:p>
      <w:pPr>
        <w:pStyle w:val="Style13"/>
        <w:spacing w:lineRule="auto" w:line="276" w:before="18" w:after="0"/>
        <w:ind w:left="122" w:right="222" w:hang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Качественный анализ: </w:t>
      </w:r>
      <w:r>
        <w:rPr>
          <w:sz w:val="28"/>
          <w:szCs w:val="28"/>
        </w:rPr>
        <w:t>дети активно используют сложносочиненные и сложноподчиненные предложения.</w:t>
      </w:r>
      <w:r>
        <w:rPr>
          <w:spacing w:val="-52"/>
          <w:sz w:val="28"/>
          <w:szCs w:val="28"/>
        </w:rPr>
        <w:t xml:space="preserve"> </w:t>
      </w:r>
      <w:r>
        <w:rPr>
          <w:sz w:val="28"/>
          <w:szCs w:val="28"/>
        </w:rPr>
        <w:t>Общаются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взрослым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детьми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темы,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выходящие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посредственно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воспринимаемой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ситуации.</w:t>
      </w:r>
    </w:p>
    <w:p>
      <w:pPr>
        <w:pStyle w:val="Style13"/>
        <w:spacing w:lineRule="auto" w:line="276" w:before="4" w:after="0"/>
        <w:ind w:left="122" w:right="105" w:hang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Дети, имеющие высокий уровень </w:t>
      </w:r>
      <w:r>
        <w:rPr>
          <w:sz w:val="28"/>
          <w:szCs w:val="28"/>
        </w:rPr>
        <w:t>овладения умениями и навыками в данной области проявляют интерес к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речевому общению. Аргументируют суждения и пользуются формой речи - доказательства с помощью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взрослого. Составляет по образцу рассказы по сюжетной картине, по набору картинок; последовательно, без</w:t>
      </w:r>
      <w:r>
        <w:rPr>
          <w:spacing w:val="-52"/>
          <w:sz w:val="28"/>
          <w:szCs w:val="28"/>
        </w:rPr>
        <w:t xml:space="preserve"> </w:t>
      </w:r>
      <w:r>
        <w:rPr>
          <w:sz w:val="28"/>
          <w:szCs w:val="28"/>
        </w:rPr>
        <w:t>существенных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пропусков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пересказывают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небольшие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литературные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произведения.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тоже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время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испытывают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затруднения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замене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слова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другим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словом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сходным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значением.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данных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детей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недостаточно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развит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фонематический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слух.</w:t>
      </w:r>
    </w:p>
    <w:p>
      <w:pPr>
        <w:pStyle w:val="Style13"/>
        <w:spacing w:lineRule="auto" w:line="276" w:before="2" w:after="0"/>
        <w:ind w:left="122" w:right="270" w:hang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Дети, имеющие средний уровень</w:t>
      </w:r>
      <w:r>
        <w:rPr>
          <w:sz w:val="28"/>
          <w:szCs w:val="28"/>
        </w:rPr>
        <w:t>, испытывают серьёзные затруднения по всем проверяемым параметрам.</w:t>
      </w:r>
      <w:r>
        <w:rPr>
          <w:spacing w:val="-52"/>
          <w:sz w:val="28"/>
          <w:szCs w:val="28"/>
        </w:rPr>
        <w:t xml:space="preserve"> </w:t>
      </w:r>
      <w:r>
        <w:rPr>
          <w:sz w:val="28"/>
          <w:szCs w:val="28"/>
        </w:rPr>
        <w:t>Прежде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всего,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это связано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 их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индивидуальными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особенностями,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 частыми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пропусками.</w:t>
      </w:r>
    </w:p>
    <w:p>
      <w:pPr>
        <w:pStyle w:val="Style13"/>
        <w:tabs>
          <w:tab w:val="clear" w:pos="720"/>
          <w:tab w:val="left" w:pos="2611" w:leader="none"/>
          <w:tab w:val="left" w:pos="3897" w:leader="none"/>
          <w:tab w:val="left" w:pos="6199" w:leader="none"/>
          <w:tab w:val="left" w:pos="7617" w:leader="none"/>
          <w:tab w:val="left" w:pos="9612" w:leader="none"/>
        </w:tabs>
        <w:spacing w:lineRule="auto" w:line="276" w:before="3" w:after="0"/>
        <w:ind w:left="122" w:right="109" w:hang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Планируемая работа: </w:t>
      </w:r>
      <w:r>
        <w:rPr>
          <w:sz w:val="28"/>
          <w:szCs w:val="28"/>
        </w:rPr>
        <w:t>в течение учебного года с детьми планируется следующая работа: индивидуальные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занятия по речевым заданиям, дидактические игры, чтение художественной литературы, провести беседы 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консультации</w:t>
        <w:tab/>
        <w:t>с</w:t>
        <w:tab/>
        <w:t>родителями</w:t>
        <w:tab/>
        <w:t>по</w:t>
        <w:tab/>
        <w:t>данному</w:t>
        <w:tab/>
        <w:t>разделу.</w:t>
      </w:r>
    </w:p>
    <w:p>
      <w:pPr>
        <w:sectPr>
          <w:type w:val="nextPage"/>
          <w:pgSz w:w="11906" w:h="16838"/>
          <w:pgMar w:left="720" w:right="680" w:header="0" w:top="1100" w:footer="0" w:bottom="280" w:gutter="0"/>
          <w:pgNumType w:fmt="decimal"/>
          <w:formProt w:val="false"/>
          <w:textDirection w:val="lrTb"/>
        </w:sectPr>
      </w:pPr>
    </w:p>
    <w:p>
      <w:pPr>
        <w:pStyle w:val="Normal"/>
        <w:widowControl/>
        <w:spacing w:lineRule="auto" w:line="276" w:before="0" w:after="200"/>
        <w:jc w:val="both"/>
        <w:rPr>
          <w:rFonts w:eastAsia="Calibri"/>
          <w:b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Результаты освоения воспитанниками основной образовательной программы</w:t>
      </w:r>
    </w:p>
    <w:p>
      <w:pPr>
        <w:pStyle w:val="Normal"/>
        <w:widowControl/>
        <w:spacing w:lineRule="auto" w:line="276" w:before="0" w:after="200"/>
        <w:jc w:val="both"/>
        <w:rPr>
          <w:rFonts w:eastAsia="Calibri"/>
          <w:b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За </w:t>
      </w:r>
      <w:r>
        <w:rPr>
          <w:b/>
          <w:bCs/>
          <w:color w:val="000000"/>
          <w:sz w:val="28"/>
          <w:szCs w:val="28"/>
        </w:rPr>
        <w:t xml:space="preserve">2022- 2023 </w:t>
      </w:r>
      <w:r>
        <w:rPr>
          <w:rFonts w:eastAsia="Calibri"/>
          <w:b/>
          <w:sz w:val="28"/>
          <w:szCs w:val="28"/>
        </w:rPr>
        <w:t>учебный год.</w:t>
      </w:r>
    </w:p>
    <w:p>
      <w:pPr>
        <w:pStyle w:val="Normal"/>
        <w:widowControl/>
        <w:spacing w:lineRule="auto" w:line="276" w:before="0" w:after="200"/>
        <w:jc w:val="both"/>
        <w:rPr>
          <w:rFonts w:eastAsia="Calibri"/>
          <w:b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Образовательная область «Познавательное развитие»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На начало учебного года знание детей составило – 80%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На конец года – 93%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Высокий уровень – 80%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Средний уровень – 13%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Низкий уровень – 7%</w:t>
      </w:r>
    </w:p>
    <w:p>
      <w:pPr>
        <w:pStyle w:val="Normal"/>
        <w:widowControl/>
        <w:spacing w:lineRule="auto" w:line="276" w:before="0" w:after="200"/>
        <w:jc w:val="both"/>
        <w:rPr>
          <w:rFonts w:eastAsia="Calibri"/>
          <w:b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</w:r>
    </w:p>
    <w:p>
      <w:pPr>
        <w:pStyle w:val="Normal"/>
        <w:widowControl/>
        <w:spacing w:lineRule="auto" w:line="276" w:before="0" w:after="200"/>
        <w:jc w:val="both"/>
        <w:rPr>
          <w:rFonts w:eastAsia="Calibri"/>
          <w:b/>
          <w:b/>
          <w:sz w:val="28"/>
          <w:szCs w:val="28"/>
        </w:rPr>
      </w:pPr>
      <w:r>
        <w:rPr/>
        <w:drawing>
          <wp:inline distT="0" distB="0" distL="0" distR="0">
            <wp:extent cx="2860040" cy="2023110"/>
            <wp:effectExtent l="0" t="0" r="0" b="0"/>
            <wp:docPr id="1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"/>
              </a:graphicData>
            </a:graphic>
          </wp:inline>
        </w:drawing>
      </w:r>
      <w:r>
        <w:rPr>
          <w:rFonts w:eastAsia="Calibri"/>
          <w:b/>
          <w:sz w:val="28"/>
          <w:szCs w:val="28"/>
        </w:rPr>
        <w:t>…</w:t>
      </w:r>
      <w:r>
        <w:rPr/>
        <w:drawing>
          <wp:inline distT="0" distB="0" distL="0" distR="0">
            <wp:extent cx="2889250" cy="2013585"/>
            <wp:effectExtent l="0" t="0" r="0" b="0"/>
            <wp:docPr id="2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"/>
              </a:graphicData>
            </a:graphic>
          </wp:inline>
        </w:drawing>
      </w:r>
    </w:p>
    <w:p>
      <w:pPr>
        <w:pStyle w:val="Normal"/>
        <w:widowControl/>
        <w:spacing w:lineRule="auto" w:line="276" w:before="0" w:after="200"/>
        <w:jc w:val="both"/>
        <w:rPr>
          <w:rFonts w:eastAsia="Calibri"/>
          <w:sz w:val="28"/>
          <w:szCs w:val="28"/>
        </w:rPr>
      </w:pPr>
      <w:r>
        <w:rPr>
          <w:rFonts w:eastAsia="Calibri"/>
          <w:b/>
          <w:sz w:val="28"/>
          <w:szCs w:val="28"/>
        </w:rPr>
        <w:t>Вывод:</w:t>
      </w:r>
      <w:r>
        <w:rPr>
          <w:rFonts w:eastAsia="Calibri"/>
          <w:sz w:val="28"/>
          <w:szCs w:val="28"/>
        </w:rPr>
        <w:t xml:space="preserve"> Дети овладели необходимыми знаниями, умениями. Называют времена года. Могут описать признаки времен года. Знают о том, что нужно бережно относиться к природе. Знают название своей Малой родины (Республика Бурятия) и ее достопримечательностях, могут назвать название своей страны (Россия), название столицы (Москва). Большинство детей знает герб, флаг, гимн России. Дети освоили счет до 20  и могут соотнести количество предметов с цифрой, научились  решать арифметические задачи, примеры, хорошо считают в прямом и обратном направлении в пределах 20. Знают и называют диких и домашних животных, их детенышей.</w:t>
      </w:r>
    </w:p>
    <w:p>
      <w:pPr>
        <w:pStyle w:val="Normal"/>
        <w:widowControl/>
        <w:spacing w:lineRule="auto" w:line="276" w:before="0" w:after="200"/>
        <w:jc w:val="both"/>
        <w:rPr>
          <w:rFonts w:eastAsia="Calibri"/>
          <w:b/>
          <w:b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>Рекомендации на летний период</w:t>
      </w:r>
      <w:r>
        <w:rPr>
          <w:rFonts w:eastAsia="Calibri"/>
          <w:sz w:val="28"/>
          <w:szCs w:val="28"/>
        </w:rPr>
        <w:t>: проводить с детьми индивидуальную работу, используя дидактические игры, уделить внимание формированию целостной картины мира.</w:t>
        <w:br/>
      </w:r>
      <w:r>
        <w:rPr>
          <w:rFonts w:eastAsia="Calibri"/>
          <w:b/>
          <w:sz w:val="28"/>
          <w:szCs w:val="28"/>
        </w:rPr>
        <w:t>Образовательная область «Речевое развитие»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На начало учебного года знание детей составило – 74%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На конец года – 86%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Высокий уровень – 64%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Средний уровень – 22%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Низкий уровень – 14%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/>
        <w:drawing>
          <wp:inline distT="0" distB="0" distL="0" distR="0">
            <wp:extent cx="2860040" cy="1819275"/>
            <wp:effectExtent l="0" t="0" r="0" b="0"/>
            <wp:docPr id="3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  <w:r>
        <w:rPr>
          <w:rFonts w:eastAsia="Calibri"/>
          <w:sz w:val="28"/>
          <w:szCs w:val="28"/>
        </w:rPr>
        <w:t>…</w:t>
      </w:r>
      <w:r>
        <w:rPr/>
        <w:drawing>
          <wp:inline distT="0" distB="0" distL="0" distR="0">
            <wp:extent cx="2966720" cy="1819275"/>
            <wp:effectExtent l="0" t="0" r="0" b="0"/>
            <wp:docPr id="4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</w:r>
    </w:p>
    <w:p>
      <w:pPr>
        <w:pStyle w:val="Normal"/>
        <w:widowControl/>
        <w:shd w:val="clear" w:color="auto" w:fill="FFFFFF"/>
        <w:spacing w:lineRule="auto" w:line="276"/>
        <w:jc w:val="both"/>
        <w:rPr>
          <w:color w:val="000000"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Вывод:</w:t>
      </w:r>
      <w:r>
        <w:rPr>
          <w:color w:val="000000"/>
          <w:sz w:val="28"/>
          <w:szCs w:val="28"/>
          <w:lang w:eastAsia="ru-RU"/>
        </w:rPr>
        <w:t xml:space="preserve"> По данным мониторинга на конец года воспитанники владеют разговорной речью и свободно общаются с близкими взрослыми и детьми. Свободно привлекают к себе внимание собеседника, интересуются высказываниями партнёра, отвечают на них словом, действиями; выражают мысли в форме полных и неполных простых предложений, коротких текстов; проявляют интерес к рассказыванию знакомых сказок, передаче содержания мультфильмов, книг; употребляют в высказываниях разные части речи, сравнения, синонимы; стремятся говорить грамматически правильно. Заметно обогатился активный словарь; развилась связная, грамматически правильная диалогическая и монологическая речь; развитие речевого творчества; развитие звуковой и интонационной культуры речи, фонематического слуха; знакомство с книжной культурой, детской литературой, понимание на слух текстов различных жанров детской литературы; формирование звуковой аналитико-синтетической активности как предпосылки обучения грамоте.</w:t>
      </w:r>
    </w:p>
    <w:p>
      <w:pPr>
        <w:pStyle w:val="Normal"/>
        <w:widowControl/>
        <w:shd w:val="clear" w:color="auto" w:fill="FFFFFF"/>
        <w:spacing w:lineRule="auto" w:line="276"/>
        <w:jc w:val="both"/>
        <w:rPr>
          <w:color w:val="000000"/>
          <w:sz w:val="28"/>
          <w:szCs w:val="28"/>
        </w:rPr>
      </w:pPr>
      <w:r>
        <w:rPr>
          <w:b/>
          <w:iCs/>
          <w:color w:val="000000"/>
          <w:sz w:val="28"/>
          <w:szCs w:val="28"/>
        </w:rPr>
        <w:t>Рекомендации на летний период:</w:t>
      </w:r>
      <w:r>
        <w:rPr>
          <w:color w:val="000000"/>
          <w:sz w:val="28"/>
          <w:szCs w:val="28"/>
        </w:rPr>
        <w:t xml:space="preserve"> Обратить внимание на развитие умения пересказывать небольшие рассказы, составлять описательные рассказы о предметах и объектах, по картинкам. из 5—6 предложений из личного опыта о предметах; на развитие умения сочинять повествовательные рассказы по игрушкам, картинам; составление описательных загадок об игрушках, объектах природы.</w:t>
      </w:r>
    </w:p>
    <w:p>
      <w:pPr>
        <w:pStyle w:val="Normal"/>
        <w:widowControl/>
        <w:spacing w:lineRule="auto" w:line="276"/>
        <w:jc w:val="both"/>
        <w:rPr>
          <w:rFonts w:eastAsia="Calibri"/>
          <w:b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Образовательная область «Социально – коммуникативное развитие»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На начало учебного года знание детей составило – 72%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На конец года – 94%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Высокий уровень – 81%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Средний уровень – 13%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Низкий уровень – 6%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/>
        <w:drawing>
          <wp:inline distT="0" distB="0" distL="0" distR="0">
            <wp:extent cx="2860040" cy="1838325"/>
            <wp:effectExtent l="0" t="0" r="0" b="0"/>
            <wp:docPr id="5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  <w:r>
        <w:rPr>
          <w:rFonts w:eastAsia="Calibri"/>
          <w:sz w:val="28"/>
          <w:szCs w:val="28"/>
        </w:rPr>
        <w:t>…</w:t>
      </w:r>
      <w:r>
        <w:rPr/>
        <w:drawing>
          <wp:inline distT="0" distB="0" distL="0" distR="0">
            <wp:extent cx="2860040" cy="1848485"/>
            <wp:effectExtent l="0" t="0" r="0" b="0"/>
            <wp:docPr id="6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>
      <w:pPr>
        <w:pStyle w:val="Normal"/>
        <w:widowControl/>
        <w:spacing w:lineRule="auto" w:line="276" w:before="0" w:after="200"/>
        <w:jc w:val="both"/>
        <w:rPr>
          <w:rFonts w:eastAsia="Calibri"/>
          <w:b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</w:r>
    </w:p>
    <w:p>
      <w:pPr>
        <w:pStyle w:val="Normal"/>
        <w:widowControl/>
        <w:spacing w:lineRule="auto" w:line="276" w:before="0" w:after="200"/>
        <w:jc w:val="both"/>
        <w:rPr>
          <w:rFonts w:eastAsia="Calibri"/>
          <w:color w:val="000000"/>
          <w:sz w:val="28"/>
          <w:szCs w:val="28"/>
          <w:shd w:fill="FFFFFF" w:val="clear"/>
        </w:rPr>
      </w:pPr>
      <w:r>
        <w:rPr>
          <w:rFonts w:eastAsia="Calibri"/>
          <w:b/>
          <w:sz w:val="28"/>
          <w:szCs w:val="28"/>
        </w:rPr>
        <w:t>Вывод:</w:t>
      </w:r>
      <w:r>
        <w:rPr>
          <w:rFonts w:eastAsia="Calibri"/>
          <w:sz w:val="28"/>
          <w:szCs w:val="28"/>
        </w:rPr>
        <w:t xml:space="preserve"> </w:t>
      </w:r>
      <w:r>
        <w:rPr>
          <w:rFonts w:eastAsia="Calibri"/>
          <w:color w:val="000000"/>
          <w:sz w:val="28"/>
          <w:szCs w:val="28"/>
          <w:shd w:fill="FFFFFF" w:val="clear"/>
        </w:rPr>
        <w:t>Дети проявляют самостоятельность и независимость от взрослых. В процессе взаимодействия с взрослыми и сверстниками дети осознают своё социальное «Я» и понимают характер отношений к ним окружающих. Воспитанники усвоили этические нормы, принятые в обществе, способы общения и взаимодействия ребенка с взрослыми и сверстниками во время образовательной и игровой деятельности; научились создавать новые сюжетно-ролевые игры, основываясь на собственные разносторонние представления о действительности, устанавливать ролевые отношения, создавать игровую ситуацию, использовать реальные предметы и их заместители; научились устанавливать дружеские, партнёрские взаимоотношения в игровых объединениях по интересам, договариваться друг с другом, справедливо распределять роли, разрешать конфликты; проявляют произвольность поведения. Дети уверенные в своих силах; инициативные, эмоционально отзывчивые; у них сформировалась готовность к совместной деятельности со сверстниками; уважительное отношение и чувство принадлежности к своей семье и к сообществу детей и взрослых в организации; проявляют интерес к труду взрослых, получены позитивные установки к основам безопасного поведения в быту, природе, социуме.</w:t>
      </w:r>
    </w:p>
    <w:p>
      <w:pPr>
        <w:pStyle w:val="Normal"/>
        <w:widowControl/>
        <w:spacing w:lineRule="auto" w:line="276" w:before="0" w:after="200"/>
        <w:jc w:val="both"/>
        <w:rPr>
          <w:rFonts w:eastAsia="Calibri"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>Рекомендации на летний период</w:t>
      </w:r>
      <w:r>
        <w:rPr>
          <w:rFonts w:eastAsia="Calibri"/>
          <w:sz w:val="28"/>
          <w:szCs w:val="28"/>
        </w:rPr>
        <w:t>: продолжать работу с детьми через использование дидактических игр; заинтересовывать детей через игровые ситуации, чтением книг с проблемными ситуациями, закреплению умения вести ролевые диалоги, принимать игровые задачи, общаться с взрослыми и сверстниками.</w:t>
      </w:r>
    </w:p>
    <w:p>
      <w:pPr>
        <w:pStyle w:val="Normal"/>
        <w:widowControl/>
        <w:spacing w:lineRule="auto" w:line="276"/>
        <w:jc w:val="both"/>
        <w:rPr>
          <w:rFonts w:eastAsia="Calibri"/>
          <w:b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Образовательная область «Физическое развитие»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На начало учебного года знание детей составило – 80%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На конец года – 95%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Высокий уровень – 67%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Средний уровень – 28%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Низкий уровень – 5%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</w:r>
    </w:p>
    <w:p>
      <w:pPr>
        <w:pStyle w:val="Normal"/>
        <w:widowControl/>
        <w:spacing w:lineRule="auto" w:line="276" w:before="0" w:after="200"/>
        <w:jc w:val="both"/>
        <w:rPr>
          <w:rFonts w:eastAsia="Calibri"/>
          <w:b/>
          <w:b/>
          <w:sz w:val="28"/>
          <w:szCs w:val="28"/>
        </w:rPr>
      </w:pPr>
      <w:r>
        <w:rPr/>
        <w:drawing>
          <wp:inline distT="0" distB="0" distL="0" distR="0">
            <wp:extent cx="2150110" cy="1729740"/>
            <wp:effectExtent l="0" t="0" r="0" b="0"/>
            <wp:docPr id="7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r>
        <w:rPr>
          <w:rFonts w:eastAsia="Calibri"/>
          <w:b/>
          <w:sz w:val="28"/>
          <w:szCs w:val="28"/>
        </w:rPr>
        <w:t>…</w:t>
      </w:r>
      <w:r>
        <w:rPr/>
        <w:drawing>
          <wp:inline distT="0" distB="0" distL="0" distR="0">
            <wp:extent cx="2348230" cy="1708785"/>
            <wp:effectExtent l="0" t="0" r="0" b="0"/>
            <wp:docPr id="8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>
      <w:pPr>
        <w:pStyle w:val="Normal"/>
        <w:widowControl/>
        <w:shd w:val="clear" w:color="auto" w:fill="FFFFFF"/>
        <w:spacing w:lineRule="auto" w:line="276"/>
        <w:jc w:val="both"/>
        <w:rPr>
          <w:color w:val="000000"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Вывод: </w:t>
      </w:r>
      <w:r>
        <w:rPr>
          <w:color w:val="000000"/>
          <w:sz w:val="28"/>
          <w:szCs w:val="28"/>
          <w:lang w:eastAsia="ru-RU"/>
        </w:rPr>
        <w:t xml:space="preserve">У детей хорошие показатели развития двигательных качеств и способностей: ловкости, общей выносливости, быстроты, гибкости, силы. Воспитанники сознательно относятся к собственному здоровью, знают, как доступными способами его укреплять, владеют техникой выполнения общеразвивающих упражнений, основных движений, соблюдают правила в подвижных играх и контролируют их выполнение, достигают результата при выполнении физических упражнений. Могут уверенно ориентироваться в пространстве, воспринимают показ, как образец для самостоятельного выполнения упражнений, оценивают движения сверстников и замечают их ошибки. </w:t>
      </w:r>
    </w:p>
    <w:p>
      <w:pPr>
        <w:pStyle w:val="Normal"/>
        <w:widowControl/>
        <w:shd w:val="clear" w:color="auto" w:fill="FFFFFF"/>
        <w:spacing w:lineRule="auto" w:line="276"/>
        <w:jc w:val="both"/>
        <w:rPr>
          <w:color w:val="000000"/>
          <w:sz w:val="28"/>
          <w:szCs w:val="28"/>
        </w:rPr>
      </w:pPr>
      <w:r>
        <w:rPr>
          <w:b/>
          <w:iCs/>
          <w:color w:val="000000"/>
          <w:sz w:val="28"/>
          <w:szCs w:val="28"/>
        </w:rPr>
        <w:t>Рекомендации на летний период:</w:t>
      </w:r>
      <w:r>
        <w:rPr>
          <w:i/>
          <w:i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Для достижения наиболее высоких показателей по образовательной области «Физическое развитие» необходимо организовывать совместную деятельность и самостоятельную двигательную деятельность детей по развитию умений прыжков в длину с разбега, в отбивании мяча об пол одной рукой, наметить работу по закреплению умения играть в эстафетные игры.</w:t>
      </w:r>
    </w:p>
    <w:p>
      <w:pPr>
        <w:pStyle w:val="Normal"/>
        <w:widowControl/>
        <w:spacing w:lineRule="auto" w:line="276"/>
        <w:jc w:val="both"/>
        <w:rPr>
          <w:rFonts w:eastAsia="Calibri"/>
          <w:b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Образовательная область «Художественно – эстетическое развитие»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На начало учебного года знание детей составило – 78%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На конец года – 91%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Высокий уровень – 85%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Средний уровень – 6%</w:t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Низкий уровень – 9%</w:t>
      </w:r>
    </w:p>
    <w:p>
      <w:pPr>
        <w:pStyle w:val="Normal"/>
        <w:widowControl/>
        <w:tabs>
          <w:tab w:val="clear" w:pos="720"/>
          <w:tab w:val="left" w:pos="1226" w:leader="none"/>
        </w:tabs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/>
        <w:drawing>
          <wp:inline distT="0" distB="0" distL="0" distR="0">
            <wp:extent cx="2646045" cy="1925955"/>
            <wp:effectExtent l="0" t="0" r="0" b="0"/>
            <wp:docPr id="9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r>
        <w:rPr>
          <w:rFonts w:eastAsia="Calibri"/>
          <w:sz w:val="28"/>
          <w:szCs w:val="28"/>
        </w:rPr>
        <w:t>…</w:t>
      </w:r>
      <w:r>
        <w:rPr/>
        <w:drawing>
          <wp:inline distT="0" distB="0" distL="0" distR="0">
            <wp:extent cx="2733675" cy="1925955"/>
            <wp:effectExtent l="0" t="0" r="0" b="0"/>
            <wp:docPr id="10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>
      <w:pPr>
        <w:pStyle w:val="Normal"/>
        <w:widowControl/>
        <w:spacing w:lineRule="auto" w:line="27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</w:r>
    </w:p>
    <w:p>
      <w:pPr>
        <w:pStyle w:val="Normal"/>
        <w:widowControl/>
        <w:spacing w:lineRule="auto" w:line="276" w:before="0" w:after="200"/>
        <w:jc w:val="both"/>
        <w:rPr>
          <w:rFonts w:eastAsia="Calibri"/>
          <w:color w:val="000000"/>
          <w:sz w:val="28"/>
          <w:szCs w:val="28"/>
          <w:shd w:fill="FFFFFF" w:val="clear"/>
        </w:rPr>
      </w:pPr>
      <w:r>
        <w:rPr>
          <w:rFonts w:eastAsia="Calibri"/>
          <w:b/>
          <w:sz w:val="28"/>
          <w:szCs w:val="28"/>
        </w:rPr>
        <w:t>Вывод:</w:t>
      </w:r>
      <w:r>
        <w:rPr>
          <w:rFonts w:eastAsia="Calibri"/>
          <w:color w:val="000000"/>
          <w:sz w:val="28"/>
          <w:szCs w:val="28"/>
          <w:shd w:fill="FFFFFF" w:val="clear"/>
        </w:rPr>
        <w:t xml:space="preserve"> Дети эмоционально и увлечённо слушают музыку; научились определять жанровую принадлежность произведения (танец, песня, вальс, марш, полька,); откликаются на музыку разного характера. Воспитанники выразительно и звонко исполняют несложные песни, музыкально и с удовольствием поют в хоре. Овладели приёмами игры на детских музыкальных инструментах. Проявляют способности к изобразительной деятельности (чувство цвета, формы, композиции); могут создавать многофигурные композиции, располагая предметы ближе и дальше; научились создавать оригинальные поделки из природных и искусственных материалов, используя их для украшения центров активности. В рисунке, лепке и аппликации научились наиболее полно отражать предметы и явления окружающей действительности; способны принимать на себя роли «художников», выбирая самостоятельно деятельность и материалы; в рисовании и лепке с натуры научились передавать характерные признаки предмета: очертания формы, пропорции, цвет; в аппликации и рисунке могут изображать предметы дальше или ближе. Используют различные материалы на выбор.</w:t>
      </w:r>
    </w:p>
    <w:p>
      <w:pPr>
        <w:pStyle w:val="Normal"/>
        <w:widowControl/>
        <w:spacing w:lineRule="auto" w:line="276" w:before="0" w:after="200"/>
        <w:jc w:val="both"/>
        <w:rPr>
          <w:rFonts w:eastAsia="Calibri"/>
          <w:color w:val="000000"/>
          <w:sz w:val="28"/>
          <w:szCs w:val="28"/>
          <w:shd w:fill="FFFFFF" w:val="clear"/>
        </w:rPr>
      </w:pPr>
      <w:r>
        <w:rPr>
          <w:rFonts w:eastAsia="Calibri"/>
          <w:color w:val="000000"/>
          <w:sz w:val="28"/>
          <w:szCs w:val="28"/>
          <w:shd w:fill="FFFFFF" w:val="clear"/>
        </w:rPr>
      </w:r>
    </w:p>
    <w:p>
      <w:pPr>
        <w:pStyle w:val="Style13"/>
        <w:spacing w:lineRule="auto" w:line="276" w:before="11" w:after="0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720" w:right="680" w:header="0" w:top="158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4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9"/>
    <w:qFormat/>
    <w:pPr>
      <w:spacing w:before="63" w:after="0"/>
      <w:ind w:left="122" w:hanging="0"/>
      <w:outlineLvl w:val="0"/>
    </w:pPr>
    <w:rPr>
      <w:b/>
      <w:bCs/>
      <w:sz w:val="26"/>
      <w:szCs w:val="26"/>
      <w:u w:val="single" w:color="000000"/>
    </w:rPr>
  </w:style>
  <w:style w:type="paragraph" w:styleId="2">
    <w:name w:val="Heading 2"/>
    <w:basedOn w:val="Normal"/>
    <w:uiPriority w:val="9"/>
    <w:unhideWhenUsed/>
    <w:qFormat/>
    <w:pPr>
      <w:ind w:left="662" w:hanging="0"/>
      <w:outlineLvl w:val="1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3">
    <w:name w:val="Body Text"/>
    <w:basedOn w:val="Normal"/>
    <w:uiPriority w:val="1"/>
    <w:qFormat/>
    <w:pPr/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>
      <w:spacing w:before="1" w:after="0"/>
      <w:ind w:left="463" w:right="109" w:hanging="320"/>
      <w:jc w:val="both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chart" Target="charts/chart1.xml"/><Relationship Id="rId3" Type="http://schemas.openxmlformats.org/officeDocument/2006/relationships/chart" Target="charts/chart2.xml"/><Relationship Id="rId4" Type="http://schemas.openxmlformats.org/officeDocument/2006/relationships/chart" Target="charts/chart3.xml"/><Relationship Id="rId5" Type="http://schemas.openxmlformats.org/officeDocument/2006/relationships/chart" Target="charts/chart4.xml"/><Relationship Id="rId6" Type="http://schemas.openxmlformats.org/officeDocument/2006/relationships/chart" Target="charts/chart5.xml"/><Relationship Id="rId7" Type="http://schemas.openxmlformats.org/officeDocument/2006/relationships/chart" Target="charts/chart6.xml"/><Relationship Id="rId8" Type="http://schemas.openxmlformats.org/officeDocument/2006/relationships/chart" Target="charts/chart7.xml"/><Relationship Id="rId9" Type="http://schemas.openxmlformats.org/officeDocument/2006/relationships/chart" Target="charts/chart8.xml"/><Relationship Id="rId10" Type="http://schemas.openxmlformats.org/officeDocument/2006/relationships/chart" Target="charts/chart9.xml"/><Relationship Id="rId11" Type="http://schemas.openxmlformats.org/officeDocument/2006/relationships/chart" Target="charts/chart10.xml"/><Relationship Id="rId12" Type="http://schemas.openxmlformats.org/officeDocument/2006/relationships/fontTable" Target="fontTable.xml"/><Relationship Id="rId13" Type="http://schemas.openxmlformats.org/officeDocument/2006/relationships/settings" Target="settings.xml"/><Relationship Id="rId14" Type="http://schemas.openxmlformats.org/officeDocument/2006/relationships/theme" Target="theme/theme1.xml"/>
</Relationships>
</file>

<file path=word/charts/_rels/chart1.xml.rels><?xml version="1.0" encoding="UTF-8"?>
<Relationships xmlns="http://schemas.openxmlformats.org/package/2006/relationships"><Relationship Id="rId1" Type="http://schemas.openxmlformats.org/officeDocument/2006/relationships/package" Target="../embeddings/Microsoft_Excel_Worksheet.xlsx"/>
</Relationships>
</file>

<file path=word/charts/_rels/chart2.xml.rels><?xml version="1.0" encoding="UTF-8"?>
<Relationships xmlns="http://schemas.openxmlformats.org/package/2006/relationships"><Relationship Id="rId1" Type="http://schemas.openxmlformats.org/officeDocument/2006/relationships/package" Target="../embeddings/Microsoft_Excel_Worksheet1.xlsx"/>
</Relationships>
</file>

<file path=word/charts/_rels/chart3.xml.rels><?xml version="1.0" encoding="UTF-8"?>
<Relationships xmlns="http://schemas.openxmlformats.org/package/2006/relationships"><Relationship Id="rId1" Type="http://schemas.openxmlformats.org/officeDocument/2006/relationships/package" Target="../embeddings/Microsoft_Excel_Worksheet2.xlsx"/>
</Relationships>
</file>

<file path=word/charts/_rels/chart4.xml.rels><?xml version="1.0" encoding="UTF-8"?>
<Relationships xmlns="http://schemas.openxmlformats.org/package/2006/relationships"><Relationship Id="rId1" Type="http://schemas.openxmlformats.org/officeDocument/2006/relationships/package" Target="../embeddings/Microsoft_Excel_Worksheet3.xlsx"/>
</Relationships>
</file>

<file path=word/charts/_rels/chart5.xml.rels><?xml version="1.0" encoding="UTF-8"?>
<Relationships xmlns="http://schemas.openxmlformats.org/package/2006/relationships"><Relationship Id="rId1" Type="http://schemas.openxmlformats.org/officeDocument/2006/relationships/package" Target="../embeddings/Microsoft_Excel_Worksheet4.xlsx"/>
</Relationships>
</file>

<file path=word/charts/_rels/chart6.xml.rels><?xml version="1.0" encoding="UTF-8"?>
<Relationships xmlns="http://schemas.openxmlformats.org/package/2006/relationships"><Relationship Id="rId1" Type="http://schemas.openxmlformats.org/officeDocument/2006/relationships/package" Target="../embeddings/Microsoft_Excel_Worksheet5.xlsx"/>
</Relationships>
</file>

<file path=word/charts/_rels/chart7.xml.rels><?xml version="1.0" encoding="UTF-8"?>
<Relationships xmlns="http://schemas.openxmlformats.org/package/2006/relationships"><Relationship Id="rId1" Type="http://schemas.openxmlformats.org/officeDocument/2006/relationships/package" Target="../embeddings/Microsoft_Excel_Worksheet6.xlsx"/>
</Relationships>
</file>

<file path=word/charts/_rels/chart8.xml.rels><?xml version="1.0" encoding="UTF-8"?>
<Relationships xmlns="http://schemas.openxmlformats.org/package/2006/relationships"><Relationship Id="rId1" Type="http://schemas.openxmlformats.org/officeDocument/2006/relationships/package" Target="../embeddings/Microsoft_Excel_Worksheet7.xlsx"/>
</Relationships>
</file>

<file path=word/charts/_rels/chart9.xml.rels><?xml version="1.0" encoding="UTF-8"?>
<Relationships xmlns="http://schemas.openxmlformats.org/package/2006/relationships"><Relationship Id="rId1" Type="http://schemas.openxmlformats.org/officeDocument/2006/relationships/package" Target="../embeddings/Microsoft_Excel_Worksheet8.xlsx"/>
</Relationships>
</file>

<file path=word/charts/_rels/chart10.xml.rels><?xml version="1.0" encoding="UTF-8"?>
<Relationships xmlns="http://schemas.openxmlformats.org/package/2006/relationships"><Relationship Id="rId1" Type="http://schemas.openxmlformats.org/officeDocument/2006/relationships/package" Target="../embeddings/Microsoft_Excel_Worksheet9.xlsx"/>
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1" sz="1200" spc="-1" strike="noStrike">
                <a:solidFill>
                  <a:srgbClr val="000000"/>
                </a:solidFill>
                <a:latin typeface="Calibri"/>
              </a:defRPr>
            </a:pPr>
            <a:r>
              <a:rPr b="1" sz="1200" spc="-1" strike="noStrike">
                <a:solidFill>
                  <a:srgbClr val="000000"/>
                </a:solidFill>
                <a:latin typeface="Calibri"/>
              </a:rPr>
              <a:t>2022-2023</a:t>
            </a:r>
          </a:p>
        </c:rich>
      </c:tx>
      <c:overlay val="0"/>
      <c:spPr>
        <a:noFill/>
        <a:ln w="0">
          <a:noFill/>
        </a:ln>
      </c:spPr>
    </c:title>
    <c:autoTitleDeleted val="0"/>
    <c:plotArea>
      <c:bar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начало года</c:v>
                </c:pt>
              </c:strCache>
            </c:strRef>
          </c:tx>
          <c:spPr>
            <a:gradFill>
              <a:gsLst>
                <a:gs pos="0">
                  <a:srgbClr val="2e5f99"/>
                </a:gs>
                <a:gs pos="100000">
                  <a:srgbClr val="3c7ac7"/>
                </a:gs>
              </a:gsLst>
              <a:lin ang="16200000"/>
            </a:gradFill>
            <a:ln w="0">
              <a:noFill/>
            </a:ln>
          </c:spPr>
          <c:invertIfNegative val="0"/>
          <c:dLbls>
            <c:numFmt formatCode="0%" sourceLinked="0"/>
            <c:txPr>
              <a:bodyPr wrap="squar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dLblPos val="ctr"/>
            <c:showLegendKey val="0"/>
            <c:showVal val="1"/>
            <c:showCatName val="0"/>
            <c:showSerName val="0"/>
            <c:showPercent val="0"/>
            <c:separator>; </c:separator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categories</c:f>
              <c:strCache>
                <c:ptCount val="1"/>
                <c:pt idx="0">
                  <c:v>1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1"/>
                <c:pt idx="0">
                  <c:v>0.8</c:v>
                </c:pt>
              </c:numCache>
            </c:numRef>
          </c:val>
        </c:ser>
        <c:ser>
          <c:idx val="1"/>
          <c:order val="1"/>
          <c:tx>
            <c:strRef>
              <c:f>label 1</c:f>
              <c:strCache>
                <c:ptCount val="1"/>
                <c:pt idx="0">
                  <c:v>конец года</c:v>
                </c:pt>
              </c:strCache>
            </c:strRef>
          </c:tx>
          <c:spPr>
            <a:gradFill>
              <a:gsLst>
                <a:gs pos="0">
                  <a:srgbClr val="9c2f2c"/>
                </a:gs>
                <a:gs pos="100000">
                  <a:srgbClr val="cb3d39"/>
                </a:gs>
              </a:gsLst>
              <a:lin ang="16200000"/>
            </a:gradFill>
            <a:ln w="0">
              <a:noFill/>
            </a:ln>
          </c:spPr>
          <c:invertIfNegative val="0"/>
          <c:dLbls>
            <c:numFmt formatCode="0%" sourceLinked="0"/>
            <c:txPr>
              <a:bodyPr wrap="squar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eparator>; </c:separator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categories</c:f>
              <c:strCache>
                <c:ptCount val="1"/>
                <c:pt idx="0">
                  <c:v>1</c:v>
                </c:pt>
              </c:strCache>
            </c:strRef>
          </c:cat>
          <c:val>
            <c:numRef>
              <c:f>1</c:f>
              <c:numCache>
                <c:formatCode>General</c:formatCode>
                <c:ptCount val="1"/>
                <c:pt idx="0">
                  <c:v>0.93</c:v>
                </c:pt>
              </c:numCache>
            </c:numRef>
          </c:val>
        </c:ser>
        <c:gapWidth val="150"/>
        <c:overlap val="0"/>
        <c:axId val="6549847"/>
        <c:axId val="84918678"/>
      </c:barChart>
      <c:catAx>
        <c:axId val="6549847"/>
        <c:scaling>
          <c:orientation val="minMax"/>
        </c:scaling>
        <c:delete val="0"/>
        <c:axPos val="b"/>
        <c:numFmt formatCode="[$-419]dd/mm/yyyy" sourceLinked="1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84918678"/>
        <c:crosses val="autoZero"/>
        <c:auto val="1"/>
        <c:lblAlgn val="ctr"/>
        <c:lblOffset val="100"/>
        <c:noMultiLvlLbl val="0"/>
      </c:catAx>
      <c:valAx>
        <c:axId val="84918678"/>
        <c:scaling>
          <c:orientation val="minMax"/>
          <c:max val="1"/>
          <c:min val="0"/>
        </c:scaling>
        <c:delete val="0"/>
        <c:axPos val="l"/>
        <c:majorGridlines>
          <c:spPr>
            <a:ln w="9360">
              <a:solidFill>
                <a:srgbClr val="878787"/>
              </a:solidFill>
              <a:round/>
            </a:ln>
          </c:spPr>
        </c:majorGridlines>
        <c:numFmt formatCode="0%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6549847"/>
        <c:crosses val="autoZero"/>
        <c:crossBetween val="between"/>
      </c:valAx>
      <c:spPr>
        <a:noFill/>
        <a:ln w="9360">
          <a:noFill/>
        </a:ln>
      </c:spPr>
    </c:plotArea>
    <c:legend>
      <c:legendPos val="t"/>
      <c:overlay val="0"/>
      <c:spPr>
        <a:noFill/>
        <a:ln w="0">
          <a:noFill/>
        </a:ln>
      </c:spPr>
      <c:txPr>
        <a:bodyPr/>
        <a:lstStyle/>
        <a:p>
          <a:pPr>
            <a:defRPr b="0" sz="1000" spc="-1" strike="noStrike">
              <a:solidFill>
                <a:srgbClr val="000000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1" sz="1200" spc="-1" strike="noStrike">
                <a:solidFill>
                  <a:srgbClr val="000000"/>
                </a:solidFill>
                <a:latin typeface="Calibri"/>
              </a:defRPr>
            </a:pPr>
            <a:r>
              <a:rPr b="1" sz="1200" spc="-1" strike="noStrike">
                <a:solidFill>
                  <a:srgbClr val="000000"/>
                </a:solidFill>
                <a:latin typeface="Calibri"/>
              </a:rPr>
              <a:t>Познавательное развитие</a:t>
            </a:r>
          </a:p>
        </c:rich>
      </c:tx>
      <c:overlay val="0"/>
      <c:spPr>
        <a:noFill/>
        <a:ln w="0">
          <a:noFill/>
        </a:ln>
      </c:spPr>
    </c:title>
    <c:autoTitleDeleted val="0"/>
    <c:plotArea>
      <c:doughnutChart>
        <c:varyColors val="1"/>
        <c:ser>
          <c:idx val="0"/>
          <c:order val="0"/>
          <c:tx>
            <c:strRef>
              <c:f>label 0</c:f>
              <c:strCache>
                <c:ptCount val="1"/>
                <c:pt idx="0">
                  <c:v>Серия1</c:v>
                </c:pt>
              </c:strCache>
            </c:strRef>
          </c:tx>
          <c:spPr>
            <a:solidFill>
              <a:srgbClr val="4f81bd"/>
            </a:solidFill>
            <a:ln w="0">
              <a:noFill/>
            </a:ln>
          </c:spPr>
          <c:explosion val="0"/>
          <c:dPt>
            <c:idx val="0"/>
            <c:spPr>
              <a:solidFill>
                <a:srgbClr val="4f81bd"/>
              </a:solidFill>
              <a:ln w="0">
                <a:noFill/>
              </a:ln>
            </c:spPr>
          </c:dPt>
          <c:dPt>
            <c:idx val="1"/>
            <c:spPr>
              <a:solidFill>
                <a:srgbClr val="c0504d"/>
              </a:solidFill>
              <a:ln w="0">
                <a:noFill/>
              </a:ln>
            </c:spPr>
          </c:dPt>
          <c:dPt>
            <c:idx val="2"/>
            <c:spPr>
              <a:solidFill>
                <a:srgbClr val="9bbb59"/>
              </a:solidFill>
              <a:ln w="0">
                <a:noFill/>
              </a:ln>
            </c:spPr>
          </c:dPt>
          <c:dLbls>
            <c:dLbl>
              <c:idx val="0"/>
              <c:txPr>
                <a:bodyPr wrap="squar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showLegendKey val="0"/>
              <c:showVal val="0"/>
              <c:showCatName val="0"/>
              <c:showSerName val="0"/>
              <c:showPercent val="1"/>
              <c:separator>
</c:separator>
            </c:dLbl>
            <c:dLbl>
              <c:idx val="1"/>
              <c:txPr>
                <a:bodyPr wrap="squar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showLegendKey val="0"/>
              <c:showVal val="0"/>
              <c:showCatName val="0"/>
              <c:showSerName val="0"/>
              <c:showPercent val="1"/>
              <c:separator>
</c:separator>
            </c:dLbl>
            <c:dLbl>
              <c:idx val="2"/>
              <c:txPr>
                <a:bodyPr wrap="squar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showLegendKey val="0"/>
              <c:showVal val="0"/>
              <c:showCatName val="0"/>
              <c:showSerName val="0"/>
              <c:showPercent val="1"/>
              <c:separator>
</c:separator>
            </c:dLbl>
            <c:txPr>
              <a:bodyPr wrap="squar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1"/>
            <c:separator>
</c:separator>
            <c:showLeaderLines val="0"/>
          </c:dLbls>
          <c:cat>
            <c:strRef>
              <c:f>categories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3"/>
                <c:pt idx="0">
                  <c:v>0.8</c:v>
                </c:pt>
                <c:pt idx="1">
                  <c:v>0.13</c:v>
                </c:pt>
                <c:pt idx="2">
                  <c:v>0.07</c:v>
                </c:pt>
              </c:numCache>
            </c:numRef>
          </c:val>
        </c:ser>
        <c:firstSliceAng val="0"/>
        <c:holeSize val="50"/>
      </c:doughnutChart>
      <c:spPr>
        <a:noFill/>
        <a:ln w="9360">
          <a:noFill/>
        </a:ln>
      </c:spPr>
    </c:plotArea>
    <c:legend>
      <c:legendPos val="t"/>
      <c:overlay val="0"/>
      <c:spPr>
        <a:noFill/>
        <a:ln w="0">
          <a:noFill/>
        </a:ln>
      </c:spPr>
      <c:txPr>
        <a:bodyPr/>
        <a:lstStyle/>
        <a:p>
          <a:pPr>
            <a:defRPr b="0" sz="1000" spc="-1" strike="noStrike">
              <a:solidFill>
                <a:srgbClr val="000000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1" sz="1200" spc="-1" strike="noStrike">
                <a:solidFill>
                  <a:srgbClr val="000000"/>
                </a:solidFill>
                <a:latin typeface="Calibri"/>
              </a:defRPr>
            </a:pPr>
            <a:r>
              <a:rPr b="1" sz="1200" spc="-1" strike="noStrike">
                <a:solidFill>
                  <a:srgbClr val="000000"/>
                </a:solidFill>
                <a:latin typeface="Calibri"/>
              </a:rPr>
              <a:t>2022-2023</a:t>
            </a:r>
          </a:p>
        </c:rich>
      </c:tx>
      <c:overlay val="0"/>
      <c:spPr>
        <a:noFill/>
        <a:ln w="0">
          <a:noFill/>
        </a:ln>
      </c:spPr>
    </c:title>
    <c:autoTitleDeleted val="0"/>
    <c:plotArea>
      <c:bar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начало года</c:v>
                </c:pt>
              </c:strCache>
            </c:strRef>
          </c:tx>
          <c:spPr>
            <a:gradFill>
              <a:gsLst>
                <a:gs pos="0">
                  <a:srgbClr val="2e5f99"/>
                </a:gs>
                <a:gs pos="100000">
                  <a:srgbClr val="3c7ac7"/>
                </a:gs>
              </a:gsLst>
              <a:lin ang="16200000"/>
            </a:gradFill>
            <a:ln w="0">
              <a:noFill/>
            </a:ln>
          </c:spPr>
          <c:invertIfNegative val="0"/>
          <c:dLbls>
            <c:numFmt formatCode="0%" sourceLinked="0"/>
            <c:txPr>
              <a:bodyPr wrap="squar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dLblPos val="ctr"/>
            <c:showLegendKey val="0"/>
            <c:showVal val="1"/>
            <c:showCatName val="0"/>
            <c:showSerName val="0"/>
            <c:showPercent val="0"/>
            <c:separator>; </c:separator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categories</c:f>
              <c:strCache>
                <c:ptCount val="1"/>
                <c:pt idx="0">
                  <c:v>1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1"/>
                <c:pt idx="0">
                  <c:v>0.74</c:v>
                </c:pt>
              </c:numCache>
            </c:numRef>
          </c:val>
        </c:ser>
        <c:ser>
          <c:idx val="1"/>
          <c:order val="1"/>
          <c:tx>
            <c:strRef>
              <c:f>label 1</c:f>
              <c:strCache>
                <c:ptCount val="1"/>
                <c:pt idx="0">
                  <c:v>конец года</c:v>
                </c:pt>
              </c:strCache>
            </c:strRef>
          </c:tx>
          <c:spPr>
            <a:gradFill>
              <a:gsLst>
                <a:gs pos="0">
                  <a:srgbClr val="9c2f2c"/>
                </a:gs>
                <a:gs pos="100000">
                  <a:srgbClr val="cb3d39"/>
                </a:gs>
              </a:gsLst>
              <a:lin ang="16200000"/>
            </a:gradFill>
            <a:ln w="0">
              <a:noFill/>
            </a:ln>
          </c:spPr>
          <c:invertIfNegative val="0"/>
          <c:dLbls>
            <c:numFmt formatCode="0%" sourceLinked="0"/>
            <c:txPr>
              <a:bodyPr wrap="squar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eparator>; </c:separator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categories</c:f>
              <c:strCache>
                <c:ptCount val="1"/>
                <c:pt idx="0">
                  <c:v>1</c:v>
                </c:pt>
              </c:strCache>
            </c:strRef>
          </c:cat>
          <c:val>
            <c:numRef>
              <c:f>1</c:f>
              <c:numCache>
                <c:formatCode>General</c:formatCode>
                <c:ptCount val="1"/>
                <c:pt idx="0">
                  <c:v>0.86</c:v>
                </c:pt>
              </c:numCache>
            </c:numRef>
          </c:val>
        </c:ser>
        <c:gapWidth val="150"/>
        <c:overlap val="0"/>
        <c:axId val="476474"/>
        <c:axId val="88089073"/>
      </c:barChart>
      <c:catAx>
        <c:axId val="476474"/>
        <c:scaling>
          <c:orientation val="minMax"/>
        </c:scaling>
        <c:delete val="0"/>
        <c:axPos val="b"/>
        <c:numFmt formatCode="[$-419]dd/mm/yyyy" sourceLinked="1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88089073"/>
        <c:crosses val="autoZero"/>
        <c:auto val="1"/>
        <c:lblAlgn val="ctr"/>
        <c:lblOffset val="100"/>
        <c:noMultiLvlLbl val="0"/>
      </c:catAx>
      <c:valAx>
        <c:axId val="88089073"/>
        <c:scaling>
          <c:orientation val="minMax"/>
          <c:max val="1"/>
          <c:min val="0"/>
        </c:scaling>
        <c:delete val="0"/>
        <c:axPos val="l"/>
        <c:majorGridlines>
          <c:spPr>
            <a:ln w="9360">
              <a:solidFill>
                <a:srgbClr val="878787"/>
              </a:solidFill>
              <a:round/>
            </a:ln>
          </c:spPr>
        </c:majorGridlines>
        <c:numFmt formatCode="0%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476474"/>
        <c:crosses val="autoZero"/>
        <c:crossBetween val="between"/>
      </c:valAx>
      <c:spPr>
        <a:noFill/>
        <a:ln w="9360">
          <a:noFill/>
        </a:ln>
      </c:spPr>
    </c:plotArea>
    <c:legend>
      <c:legendPos val="t"/>
      <c:overlay val="0"/>
      <c:spPr>
        <a:noFill/>
        <a:ln w="0">
          <a:noFill/>
        </a:ln>
      </c:spPr>
      <c:txPr>
        <a:bodyPr/>
        <a:lstStyle/>
        <a:p>
          <a:pPr>
            <a:defRPr b="0" sz="1000" spc="-1" strike="noStrike">
              <a:solidFill>
                <a:srgbClr val="000000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1" sz="1200" spc="-1" strike="noStrike">
                <a:solidFill>
                  <a:srgbClr val="000000"/>
                </a:solidFill>
                <a:latin typeface="Calibri"/>
              </a:defRPr>
            </a:pPr>
            <a:r>
              <a:rPr b="1" sz="1200" spc="-1" strike="noStrike">
                <a:solidFill>
                  <a:srgbClr val="000000"/>
                </a:solidFill>
                <a:latin typeface="Calibri"/>
              </a:rPr>
              <a:t>Речевое развитие</a:t>
            </a:r>
          </a:p>
        </c:rich>
      </c:tx>
      <c:overlay val="0"/>
      <c:spPr>
        <a:noFill/>
        <a:ln w="0">
          <a:noFill/>
        </a:ln>
      </c:spPr>
    </c:title>
    <c:autoTitleDeleted val="0"/>
    <c:plotArea>
      <c:doughnutChart>
        <c:varyColors val="1"/>
        <c:ser>
          <c:idx val="0"/>
          <c:order val="0"/>
          <c:tx>
            <c:strRef>
              <c:f>label 0</c:f>
              <c:strCache>
                <c:ptCount val="1"/>
                <c:pt idx="0">
                  <c:v>Серия1</c:v>
                </c:pt>
              </c:strCache>
            </c:strRef>
          </c:tx>
          <c:spPr>
            <a:solidFill>
              <a:srgbClr val="4f81bd"/>
            </a:solidFill>
            <a:ln w="0">
              <a:noFill/>
            </a:ln>
          </c:spPr>
          <c:explosion val="0"/>
          <c:dPt>
            <c:idx val="0"/>
            <c:spPr>
              <a:solidFill>
                <a:srgbClr val="4f81bd"/>
              </a:solidFill>
              <a:ln w="0">
                <a:noFill/>
              </a:ln>
            </c:spPr>
          </c:dPt>
          <c:dPt>
            <c:idx val="1"/>
            <c:spPr>
              <a:solidFill>
                <a:srgbClr val="c0504d"/>
              </a:solidFill>
              <a:ln w="0">
                <a:noFill/>
              </a:ln>
            </c:spPr>
          </c:dPt>
          <c:dPt>
            <c:idx val="2"/>
            <c:spPr>
              <a:solidFill>
                <a:srgbClr val="9bbb59"/>
              </a:solidFill>
              <a:ln w="0">
                <a:noFill/>
              </a:ln>
            </c:spPr>
          </c:dPt>
          <c:dLbls>
            <c:dLbl>
              <c:idx val="0"/>
              <c:txPr>
                <a:bodyPr wrap="squar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showLegendKey val="0"/>
              <c:showVal val="0"/>
              <c:showCatName val="0"/>
              <c:showSerName val="0"/>
              <c:showPercent val="1"/>
              <c:separator>
</c:separator>
            </c:dLbl>
            <c:dLbl>
              <c:idx val="1"/>
              <c:txPr>
                <a:bodyPr wrap="squar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showLegendKey val="0"/>
              <c:showVal val="0"/>
              <c:showCatName val="0"/>
              <c:showSerName val="0"/>
              <c:showPercent val="1"/>
              <c:separator>
</c:separator>
            </c:dLbl>
            <c:dLbl>
              <c:idx val="2"/>
              <c:txPr>
                <a:bodyPr wrap="squar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showLegendKey val="0"/>
              <c:showVal val="0"/>
              <c:showCatName val="0"/>
              <c:showSerName val="0"/>
              <c:showPercent val="1"/>
              <c:separator>
</c:separator>
            </c:dLbl>
            <c:txPr>
              <a:bodyPr wrap="squar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1"/>
            <c:separator>
</c:separator>
            <c:showLeaderLines val="0"/>
          </c:dLbls>
          <c:cat>
            <c:strRef>
              <c:f>categories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3"/>
                <c:pt idx="0">
                  <c:v>0.64</c:v>
                </c:pt>
                <c:pt idx="1">
                  <c:v>0.22</c:v>
                </c:pt>
                <c:pt idx="2">
                  <c:v>0.14</c:v>
                </c:pt>
              </c:numCache>
            </c:numRef>
          </c:val>
        </c:ser>
        <c:firstSliceAng val="0"/>
        <c:holeSize val="50"/>
      </c:doughnutChart>
      <c:spPr>
        <a:noFill/>
        <a:ln w="9360">
          <a:noFill/>
        </a:ln>
      </c:spPr>
    </c:plotArea>
    <c:legend>
      <c:legendPos val="t"/>
      <c:overlay val="0"/>
      <c:spPr>
        <a:noFill/>
        <a:ln w="0">
          <a:noFill/>
        </a:ln>
      </c:spPr>
      <c:txPr>
        <a:bodyPr/>
        <a:lstStyle/>
        <a:p>
          <a:pPr>
            <a:defRPr b="0" sz="1000" spc="-1" strike="noStrike">
              <a:solidFill>
                <a:srgbClr val="000000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1" sz="1200" spc="-1" strike="noStrike">
                <a:solidFill>
                  <a:srgbClr val="000000"/>
                </a:solidFill>
                <a:latin typeface="Calibri"/>
              </a:defRPr>
            </a:pPr>
            <a:r>
              <a:rPr b="1" sz="1200" spc="-1" strike="noStrike">
                <a:solidFill>
                  <a:srgbClr val="000000"/>
                </a:solidFill>
                <a:latin typeface="Calibri"/>
              </a:rPr>
              <a:t>2022-2023</a:t>
            </a:r>
          </a:p>
        </c:rich>
      </c:tx>
      <c:overlay val="0"/>
      <c:spPr>
        <a:noFill/>
        <a:ln w="0">
          <a:noFill/>
        </a:ln>
      </c:spPr>
    </c:title>
    <c:autoTitleDeleted val="0"/>
    <c:plotArea>
      <c:bar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начало года</c:v>
                </c:pt>
              </c:strCache>
            </c:strRef>
          </c:tx>
          <c:spPr>
            <a:gradFill>
              <a:gsLst>
                <a:gs pos="0">
                  <a:srgbClr val="2e5f99"/>
                </a:gs>
                <a:gs pos="100000">
                  <a:srgbClr val="3c7ac7"/>
                </a:gs>
              </a:gsLst>
              <a:lin ang="16200000"/>
            </a:gradFill>
            <a:ln w="0">
              <a:noFill/>
            </a:ln>
          </c:spPr>
          <c:invertIfNegative val="0"/>
          <c:dLbls>
            <c:numFmt formatCode="0%" sourceLinked="0"/>
            <c:txPr>
              <a:bodyPr wrap="squar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dLblPos val="ctr"/>
            <c:showLegendKey val="0"/>
            <c:showVal val="1"/>
            <c:showCatName val="0"/>
            <c:showSerName val="0"/>
            <c:showPercent val="0"/>
            <c:separator>; </c:separator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categories</c:f>
              <c:strCache>
                <c:ptCount val="1"/>
                <c:pt idx="0">
                  <c:v>1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1"/>
                <c:pt idx="0">
                  <c:v>0.72</c:v>
                </c:pt>
              </c:numCache>
            </c:numRef>
          </c:val>
        </c:ser>
        <c:ser>
          <c:idx val="1"/>
          <c:order val="1"/>
          <c:tx>
            <c:strRef>
              <c:f>label 1</c:f>
              <c:strCache>
                <c:ptCount val="1"/>
                <c:pt idx="0">
                  <c:v>конец года</c:v>
                </c:pt>
              </c:strCache>
            </c:strRef>
          </c:tx>
          <c:spPr>
            <a:gradFill>
              <a:gsLst>
                <a:gs pos="0">
                  <a:srgbClr val="9c2f2c"/>
                </a:gs>
                <a:gs pos="100000">
                  <a:srgbClr val="cb3d39"/>
                </a:gs>
              </a:gsLst>
              <a:lin ang="16200000"/>
            </a:gradFill>
            <a:ln w="0">
              <a:noFill/>
            </a:ln>
          </c:spPr>
          <c:invertIfNegative val="0"/>
          <c:dLbls>
            <c:numFmt formatCode="0%" sourceLinked="0"/>
            <c:txPr>
              <a:bodyPr wrap="squar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eparator>; </c:separator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categories</c:f>
              <c:strCache>
                <c:ptCount val="1"/>
                <c:pt idx="0">
                  <c:v>1</c:v>
                </c:pt>
              </c:strCache>
            </c:strRef>
          </c:cat>
          <c:val>
            <c:numRef>
              <c:f>1</c:f>
              <c:numCache>
                <c:formatCode>General</c:formatCode>
                <c:ptCount val="1"/>
                <c:pt idx="0">
                  <c:v>0.94</c:v>
                </c:pt>
              </c:numCache>
            </c:numRef>
          </c:val>
        </c:ser>
        <c:gapWidth val="150"/>
        <c:overlap val="0"/>
        <c:axId val="54381554"/>
        <c:axId val="77748280"/>
      </c:barChart>
      <c:catAx>
        <c:axId val="54381554"/>
        <c:scaling>
          <c:orientation val="minMax"/>
        </c:scaling>
        <c:delete val="0"/>
        <c:axPos val="b"/>
        <c:numFmt formatCode="[$-419]dd/mm/yyyy" sourceLinked="1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77748280"/>
        <c:crosses val="autoZero"/>
        <c:auto val="1"/>
        <c:lblAlgn val="ctr"/>
        <c:lblOffset val="100"/>
        <c:noMultiLvlLbl val="0"/>
      </c:catAx>
      <c:valAx>
        <c:axId val="77748280"/>
        <c:scaling>
          <c:orientation val="minMax"/>
          <c:max val="1"/>
          <c:min val="0"/>
        </c:scaling>
        <c:delete val="0"/>
        <c:axPos val="l"/>
        <c:majorGridlines>
          <c:spPr>
            <a:ln w="9360">
              <a:solidFill>
                <a:srgbClr val="878787"/>
              </a:solidFill>
              <a:round/>
            </a:ln>
          </c:spPr>
        </c:majorGridlines>
        <c:numFmt formatCode="0%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54381554"/>
        <c:crosses val="autoZero"/>
        <c:crossBetween val="between"/>
      </c:valAx>
      <c:spPr>
        <a:noFill/>
        <a:ln w="9360">
          <a:noFill/>
        </a:ln>
      </c:spPr>
    </c:plotArea>
    <c:legend>
      <c:legendPos val="t"/>
      <c:overlay val="0"/>
      <c:spPr>
        <a:noFill/>
        <a:ln w="0">
          <a:noFill/>
        </a:ln>
      </c:spPr>
      <c:txPr>
        <a:bodyPr/>
        <a:lstStyle/>
        <a:p>
          <a:pPr>
            <a:defRPr b="0" sz="1000" spc="-1" strike="noStrike">
              <a:solidFill>
                <a:srgbClr val="000000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1" sz="1200" spc="-1" strike="noStrike">
                <a:solidFill>
                  <a:srgbClr val="000000"/>
                </a:solidFill>
                <a:latin typeface="Calibri"/>
              </a:defRPr>
            </a:pPr>
            <a:r>
              <a:rPr b="1" sz="1200" spc="-1" strike="noStrike">
                <a:solidFill>
                  <a:srgbClr val="000000"/>
                </a:solidFill>
                <a:latin typeface="Calibri"/>
              </a:rPr>
              <a:t>Социально-коммуникативное развитие</a:t>
            </a:r>
          </a:p>
        </c:rich>
      </c:tx>
      <c:overlay val="0"/>
      <c:spPr>
        <a:noFill/>
        <a:ln w="0">
          <a:noFill/>
        </a:ln>
      </c:spPr>
    </c:title>
    <c:autoTitleDeleted val="0"/>
    <c:plotArea>
      <c:doughnutChart>
        <c:varyColors val="1"/>
        <c:ser>
          <c:idx val="0"/>
          <c:order val="0"/>
          <c:tx>
            <c:strRef>
              <c:f>label 0</c:f>
              <c:strCache>
                <c:ptCount val="1"/>
                <c:pt idx="0">
                  <c:v>Серия1</c:v>
                </c:pt>
              </c:strCache>
            </c:strRef>
          </c:tx>
          <c:spPr>
            <a:solidFill>
              <a:srgbClr val="4f81bd"/>
            </a:solidFill>
            <a:ln w="0">
              <a:noFill/>
            </a:ln>
          </c:spPr>
          <c:explosion val="0"/>
          <c:dPt>
            <c:idx val="0"/>
            <c:spPr>
              <a:solidFill>
                <a:srgbClr val="4f81bd"/>
              </a:solidFill>
              <a:ln w="0">
                <a:noFill/>
              </a:ln>
            </c:spPr>
          </c:dPt>
          <c:dPt>
            <c:idx val="1"/>
            <c:spPr>
              <a:solidFill>
                <a:srgbClr val="c0504d"/>
              </a:solidFill>
              <a:ln w="0">
                <a:noFill/>
              </a:ln>
            </c:spPr>
          </c:dPt>
          <c:dPt>
            <c:idx val="2"/>
            <c:spPr>
              <a:solidFill>
                <a:srgbClr val="9bbb59"/>
              </a:solidFill>
              <a:ln w="0">
                <a:noFill/>
              </a:ln>
            </c:spPr>
          </c:dPt>
          <c:dLbls>
            <c:dLbl>
              <c:idx val="0"/>
              <c:txPr>
                <a:bodyPr wrap="squar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showLegendKey val="0"/>
              <c:showVal val="0"/>
              <c:showCatName val="0"/>
              <c:showSerName val="0"/>
              <c:showPercent val="1"/>
              <c:separator>
</c:separator>
            </c:dLbl>
            <c:dLbl>
              <c:idx val="1"/>
              <c:txPr>
                <a:bodyPr wrap="squar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showLegendKey val="0"/>
              <c:showVal val="0"/>
              <c:showCatName val="0"/>
              <c:showSerName val="0"/>
              <c:showPercent val="1"/>
              <c:separator>
</c:separator>
            </c:dLbl>
            <c:dLbl>
              <c:idx val="2"/>
              <c:txPr>
                <a:bodyPr wrap="squar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showLegendKey val="0"/>
              <c:showVal val="0"/>
              <c:showCatName val="0"/>
              <c:showSerName val="0"/>
              <c:showPercent val="1"/>
              <c:separator>
</c:separator>
            </c:dLbl>
            <c:txPr>
              <a:bodyPr wrap="squar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1"/>
            <c:separator>
</c:separator>
            <c:showLeaderLines val="0"/>
          </c:dLbls>
          <c:cat>
            <c:strRef>
              <c:f>categories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3"/>
                <c:pt idx="0">
                  <c:v>0.81</c:v>
                </c:pt>
                <c:pt idx="1">
                  <c:v>0.13</c:v>
                </c:pt>
                <c:pt idx="2">
                  <c:v>0.06</c:v>
                </c:pt>
              </c:numCache>
            </c:numRef>
          </c:val>
        </c:ser>
        <c:firstSliceAng val="0"/>
        <c:holeSize val="50"/>
      </c:doughnutChart>
      <c:spPr>
        <a:noFill/>
        <a:ln w="9360">
          <a:noFill/>
        </a:ln>
      </c:spPr>
    </c:plotArea>
    <c:legend>
      <c:legendPos val="t"/>
      <c:overlay val="0"/>
      <c:spPr>
        <a:noFill/>
        <a:ln w="0">
          <a:noFill/>
        </a:ln>
      </c:spPr>
      <c:txPr>
        <a:bodyPr/>
        <a:lstStyle/>
        <a:p>
          <a:pPr>
            <a:defRPr b="0" sz="1000" spc="-1" strike="noStrike">
              <a:solidFill>
                <a:srgbClr val="000000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1" sz="1800" spc="-1" strike="noStrike">
                <a:solidFill>
                  <a:srgbClr val="000000"/>
                </a:solidFill>
                <a:latin typeface="Calibri"/>
              </a:defRPr>
            </a:pPr>
            <a:r>
              <a:rPr b="1" sz="1800" spc="-1" strike="noStrike">
                <a:solidFill>
                  <a:srgbClr val="000000"/>
                </a:solidFill>
                <a:latin typeface="Calibri"/>
              </a:rPr>
              <a:t>2022-2023</a:t>
            </a:r>
          </a:p>
        </c:rich>
      </c:tx>
      <c:overlay val="0"/>
      <c:spPr>
        <a:noFill/>
        <a:ln w="0">
          <a:noFill/>
        </a:ln>
      </c:spPr>
    </c:title>
    <c:autoTitleDeleted val="0"/>
    <c:plotArea>
      <c:bar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начало года</c:v>
                </c:pt>
              </c:strCache>
            </c:strRef>
          </c:tx>
          <c:spPr>
            <a:gradFill>
              <a:gsLst>
                <a:gs pos="0">
                  <a:srgbClr val="2e5f99"/>
                </a:gs>
                <a:gs pos="100000">
                  <a:srgbClr val="3c7ac7"/>
                </a:gs>
              </a:gsLst>
              <a:lin ang="16200000"/>
            </a:gradFill>
            <a:ln w="0">
              <a:noFill/>
            </a:ln>
          </c:spPr>
          <c:invertIfNegative val="0"/>
          <c:dLbls>
            <c:numFmt formatCode="0%" sourceLinked="0"/>
            <c:txPr>
              <a:bodyPr wrap="squar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dLblPos val="ctr"/>
            <c:showLegendKey val="0"/>
            <c:showVal val="1"/>
            <c:showCatName val="0"/>
            <c:showSerName val="0"/>
            <c:showPercent val="0"/>
            <c:separator>; </c:separator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categories</c:f>
              <c:strCache>
                <c:ptCount val="1"/>
                <c:pt idx="0">
                  <c:v>1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1"/>
                <c:pt idx="0">
                  <c:v>0.8</c:v>
                </c:pt>
              </c:numCache>
            </c:numRef>
          </c:val>
        </c:ser>
        <c:ser>
          <c:idx val="1"/>
          <c:order val="1"/>
          <c:tx>
            <c:strRef>
              <c:f>label 1</c:f>
              <c:strCache>
                <c:ptCount val="1"/>
                <c:pt idx="0">
                  <c:v>конец года</c:v>
                </c:pt>
              </c:strCache>
            </c:strRef>
          </c:tx>
          <c:spPr>
            <a:gradFill>
              <a:gsLst>
                <a:gs pos="0">
                  <a:srgbClr val="9c2f2c"/>
                </a:gs>
                <a:gs pos="100000">
                  <a:srgbClr val="cb3d39"/>
                </a:gs>
              </a:gsLst>
              <a:lin ang="16200000"/>
            </a:gradFill>
            <a:ln w="0">
              <a:noFill/>
            </a:ln>
          </c:spPr>
          <c:invertIfNegative val="0"/>
          <c:dLbls>
            <c:numFmt formatCode="0%" sourceLinked="0"/>
            <c:txPr>
              <a:bodyPr wrap="squar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eparator>; </c:separator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categories</c:f>
              <c:strCache>
                <c:ptCount val="1"/>
                <c:pt idx="0">
                  <c:v>1</c:v>
                </c:pt>
              </c:strCache>
            </c:strRef>
          </c:cat>
          <c:val>
            <c:numRef>
              <c:f>1</c:f>
              <c:numCache>
                <c:formatCode>General</c:formatCode>
                <c:ptCount val="1"/>
                <c:pt idx="0">
                  <c:v>0.95</c:v>
                </c:pt>
              </c:numCache>
            </c:numRef>
          </c:val>
        </c:ser>
        <c:gapWidth val="150"/>
        <c:overlap val="0"/>
        <c:axId val="47180962"/>
        <c:axId val="87308356"/>
      </c:barChart>
      <c:catAx>
        <c:axId val="47180962"/>
        <c:scaling>
          <c:orientation val="minMax"/>
        </c:scaling>
        <c:delete val="0"/>
        <c:axPos val="b"/>
        <c:numFmt formatCode="[$-419]dd/mm/yyyy" sourceLinked="1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87308356"/>
        <c:crosses val="autoZero"/>
        <c:auto val="1"/>
        <c:lblAlgn val="ctr"/>
        <c:lblOffset val="100"/>
        <c:noMultiLvlLbl val="0"/>
      </c:catAx>
      <c:valAx>
        <c:axId val="87308356"/>
        <c:scaling>
          <c:orientation val="minMax"/>
          <c:max val="1"/>
          <c:min val="0"/>
        </c:scaling>
        <c:delete val="0"/>
        <c:axPos val="l"/>
        <c:majorGridlines>
          <c:spPr>
            <a:ln w="9360">
              <a:solidFill>
                <a:srgbClr val="878787"/>
              </a:solidFill>
              <a:round/>
            </a:ln>
          </c:spPr>
        </c:majorGridlines>
        <c:numFmt formatCode="0%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47180962"/>
        <c:crosses val="autoZero"/>
        <c:crossBetween val="between"/>
      </c:valAx>
      <c:spPr>
        <a:noFill/>
        <a:ln w="9360">
          <a:noFill/>
        </a:ln>
      </c:spPr>
    </c:plotArea>
    <c:legend>
      <c:legendPos val="t"/>
      <c:overlay val="0"/>
      <c:spPr>
        <a:noFill/>
        <a:ln w="0">
          <a:noFill/>
        </a:ln>
      </c:spPr>
      <c:txPr>
        <a:bodyPr/>
        <a:lstStyle/>
        <a:p>
          <a:pPr>
            <a:defRPr b="0" sz="1000" spc="-1" strike="noStrike">
              <a:solidFill>
                <a:srgbClr val="000000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1" sz="1800" spc="-1" strike="noStrike">
                <a:solidFill>
                  <a:srgbClr val="000000"/>
                </a:solidFill>
                <a:latin typeface="Calibri"/>
              </a:defRPr>
            </a:pPr>
            <a:r>
              <a:rPr b="1" sz="1800" spc="-1" strike="noStrike">
                <a:solidFill>
                  <a:srgbClr val="000000"/>
                </a:solidFill>
                <a:latin typeface="Calibri"/>
              </a:rPr>
              <a:t>Физическое развитие</a:t>
            </a:r>
          </a:p>
        </c:rich>
      </c:tx>
      <c:overlay val="0"/>
      <c:spPr>
        <a:noFill/>
        <a:ln w="0">
          <a:noFill/>
        </a:ln>
      </c:spPr>
    </c:title>
    <c:autoTitleDeleted val="0"/>
    <c:plotArea>
      <c:doughnutChart>
        <c:varyColors val="1"/>
        <c:ser>
          <c:idx val="0"/>
          <c:order val="0"/>
          <c:tx>
            <c:strRef>
              <c:f>label 0</c:f>
              <c:strCache>
                <c:ptCount val="1"/>
                <c:pt idx="0">
                  <c:v>Серия1</c:v>
                </c:pt>
              </c:strCache>
            </c:strRef>
          </c:tx>
          <c:spPr>
            <a:solidFill>
              <a:srgbClr val="4f81bd"/>
            </a:solidFill>
            <a:ln w="0">
              <a:noFill/>
            </a:ln>
          </c:spPr>
          <c:explosion val="0"/>
          <c:dPt>
            <c:idx val="0"/>
            <c:spPr>
              <a:solidFill>
                <a:srgbClr val="4f81bd"/>
              </a:solidFill>
              <a:ln w="0">
                <a:noFill/>
              </a:ln>
            </c:spPr>
          </c:dPt>
          <c:dPt>
            <c:idx val="1"/>
            <c:spPr>
              <a:solidFill>
                <a:srgbClr val="c0504d"/>
              </a:solidFill>
              <a:ln w="0">
                <a:noFill/>
              </a:ln>
            </c:spPr>
          </c:dPt>
          <c:dPt>
            <c:idx val="2"/>
            <c:spPr>
              <a:solidFill>
                <a:srgbClr val="9bbb59"/>
              </a:solidFill>
              <a:ln w="0">
                <a:noFill/>
              </a:ln>
            </c:spPr>
          </c:dPt>
          <c:dLbls>
            <c:dLbl>
              <c:idx val="0"/>
              <c:txPr>
                <a:bodyPr wrap="squar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showLegendKey val="0"/>
              <c:showVal val="0"/>
              <c:showCatName val="0"/>
              <c:showSerName val="0"/>
              <c:showPercent val="1"/>
              <c:separator>
</c:separator>
            </c:dLbl>
            <c:dLbl>
              <c:idx val="1"/>
              <c:txPr>
                <a:bodyPr wrap="squar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showLegendKey val="0"/>
              <c:showVal val="0"/>
              <c:showCatName val="0"/>
              <c:showSerName val="0"/>
              <c:showPercent val="1"/>
              <c:separator>
</c:separator>
            </c:dLbl>
            <c:dLbl>
              <c:idx val="2"/>
              <c:txPr>
                <a:bodyPr wrap="squar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showLegendKey val="0"/>
              <c:showVal val="0"/>
              <c:showCatName val="0"/>
              <c:showSerName val="0"/>
              <c:showPercent val="1"/>
              <c:separator>
</c:separator>
            </c:dLbl>
            <c:txPr>
              <a:bodyPr wrap="squar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1"/>
            <c:separator>
</c:separator>
            <c:showLeaderLines val="0"/>
          </c:dLbls>
          <c:cat>
            <c:strRef>
              <c:f>categories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3"/>
                <c:pt idx="0">
                  <c:v>0.67</c:v>
                </c:pt>
                <c:pt idx="1">
                  <c:v>0.28</c:v>
                </c:pt>
                <c:pt idx="2">
                  <c:v>0.05</c:v>
                </c:pt>
              </c:numCache>
            </c:numRef>
          </c:val>
        </c:ser>
        <c:firstSliceAng val="0"/>
        <c:holeSize val="50"/>
      </c:doughnutChart>
      <c:spPr>
        <a:noFill/>
        <a:ln w="9360">
          <a:noFill/>
        </a:ln>
      </c:spPr>
    </c:plotArea>
    <c:legend>
      <c:legendPos val="t"/>
      <c:overlay val="0"/>
      <c:spPr>
        <a:noFill/>
        <a:ln w="0">
          <a:noFill/>
        </a:ln>
      </c:spPr>
      <c:txPr>
        <a:bodyPr/>
        <a:lstStyle/>
        <a:p>
          <a:pPr>
            <a:defRPr b="0" sz="1000" spc="-1" strike="noStrike">
              <a:solidFill>
                <a:srgbClr val="000000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1" sz="1200" spc="-1" strike="noStrike">
                <a:solidFill>
                  <a:srgbClr val="000000"/>
                </a:solidFill>
                <a:latin typeface="Calibri"/>
              </a:defRPr>
            </a:pPr>
            <a:r>
              <a:rPr b="1" sz="1200" spc="-1" strike="noStrike">
                <a:solidFill>
                  <a:srgbClr val="000000"/>
                </a:solidFill>
                <a:latin typeface="Calibri"/>
              </a:rPr>
              <a:t>2022-2023</a:t>
            </a:r>
          </a:p>
        </c:rich>
      </c:tx>
      <c:overlay val="0"/>
      <c:spPr>
        <a:noFill/>
        <a:ln w="0">
          <a:noFill/>
        </a:ln>
      </c:spPr>
    </c:title>
    <c:autoTitleDeleted val="0"/>
    <c:plotArea>
      <c:bar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начало года</c:v>
                </c:pt>
              </c:strCache>
            </c:strRef>
          </c:tx>
          <c:spPr>
            <a:gradFill>
              <a:gsLst>
                <a:gs pos="0">
                  <a:srgbClr val="2e5f99"/>
                </a:gs>
                <a:gs pos="100000">
                  <a:srgbClr val="3c7ac7"/>
                </a:gs>
              </a:gsLst>
              <a:lin ang="16200000"/>
            </a:gradFill>
            <a:ln w="0">
              <a:noFill/>
            </a:ln>
          </c:spPr>
          <c:invertIfNegative val="0"/>
          <c:dLbls>
            <c:numFmt formatCode="0%" sourceLinked="0"/>
            <c:txPr>
              <a:bodyPr wrap="squar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dLblPos val="ctr"/>
            <c:showLegendKey val="0"/>
            <c:showVal val="1"/>
            <c:showCatName val="0"/>
            <c:showSerName val="0"/>
            <c:showPercent val="0"/>
            <c:separator>; </c:separator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categories</c:f>
              <c:strCache>
                <c:ptCount val="1"/>
                <c:pt idx="0">
                  <c:v>1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1"/>
                <c:pt idx="0">
                  <c:v>0.78</c:v>
                </c:pt>
              </c:numCache>
            </c:numRef>
          </c:val>
        </c:ser>
        <c:ser>
          <c:idx val="1"/>
          <c:order val="1"/>
          <c:tx>
            <c:strRef>
              <c:f>label 1</c:f>
              <c:strCache>
                <c:ptCount val="1"/>
                <c:pt idx="0">
                  <c:v>конец года</c:v>
                </c:pt>
              </c:strCache>
            </c:strRef>
          </c:tx>
          <c:spPr>
            <a:gradFill>
              <a:gsLst>
                <a:gs pos="0">
                  <a:srgbClr val="9c2f2c"/>
                </a:gs>
                <a:gs pos="100000">
                  <a:srgbClr val="cb3d39"/>
                </a:gs>
              </a:gsLst>
              <a:lin ang="16200000"/>
            </a:gradFill>
            <a:ln w="0">
              <a:noFill/>
            </a:ln>
          </c:spPr>
          <c:invertIfNegative val="0"/>
          <c:dLbls>
            <c:numFmt formatCode="0%" sourceLinked="0"/>
            <c:txPr>
              <a:bodyPr wrap="squar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eparator>; </c:separator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categories</c:f>
              <c:strCache>
                <c:ptCount val="1"/>
                <c:pt idx="0">
                  <c:v>1</c:v>
                </c:pt>
              </c:strCache>
            </c:strRef>
          </c:cat>
          <c:val>
            <c:numRef>
              <c:f>1</c:f>
              <c:numCache>
                <c:formatCode>General</c:formatCode>
                <c:ptCount val="1"/>
                <c:pt idx="0">
                  <c:v>0.91</c:v>
                </c:pt>
              </c:numCache>
            </c:numRef>
          </c:val>
        </c:ser>
        <c:gapWidth val="150"/>
        <c:overlap val="0"/>
        <c:axId val="56292008"/>
        <c:axId val="61123630"/>
      </c:barChart>
      <c:catAx>
        <c:axId val="56292008"/>
        <c:scaling>
          <c:orientation val="minMax"/>
        </c:scaling>
        <c:delete val="0"/>
        <c:axPos val="b"/>
        <c:numFmt formatCode="[$-419]dd/mm/yyyy" sourceLinked="1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61123630"/>
        <c:crosses val="autoZero"/>
        <c:auto val="1"/>
        <c:lblAlgn val="ctr"/>
        <c:lblOffset val="100"/>
        <c:noMultiLvlLbl val="0"/>
      </c:catAx>
      <c:valAx>
        <c:axId val="61123630"/>
        <c:scaling>
          <c:orientation val="minMax"/>
          <c:max val="1"/>
          <c:min val="0"/>
        </c:scaling>
        <c:delete val="0"/>
        <c:axPos val="l"/>
        <c:majorGridlines>
          <c:spPr>
            <a:ln w="9360">
              <a:solidFill>
                <a:srgbClr val="878787"/>
              </a:solidFill>
              <a:round/>
            </a:ln>
          </c:spPr>
        </c:majorGridlines>
        <c:numFmt formatCode="0%" sourceLinked="0"/>
        <c:majorTickMark val="out"/>
        <c:minorTickMark val="none"/>
        <c:tickLblPos val="nextTo"/>
        <c:spPr>
          <a:ln w="9360">
            <a:solidFill>
              <a:srgbClr val="878787"/>
            </a:solidFill>
            <a:round/>
          </a:ln>
        </c:spPr>
        <c:txPr>
          <a:bodyPr/>
          <a:lstStyle/>
          <a:p>
            <a:pPr>
              <a:defRPr b="0" sz="10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56292008"/>
        <c:crosses val="autoZero"/>
        <c:crossBetween val="between"/>
      </c:valAx>
      <c:spPr>
        <a:noFill/>
        <a:ln w="9360">
          <a:noFill/>
        </a:ln>
      </c:spPr>
    </c:plotArea>
    <c:legend>
      <c:legendPos val="t"/>
      <c:overlay val="0"/>
      <c:spPr>
        <a:noFill/>
        <a:ln w="0">
          <a:noFill/>
        </a:ln>
      </c:spPr>
      <c:txPr>
        <a:bodyPr/>
        <a:lstStyle/>
        <a:p>
          <a:pPr>
            <a:defRPr b="0" sz="1000" spc="-1" strike="noStrike">
              <a:solidFill>
                <a:srgbClr val="000000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1" sz="1200" spc="-1" strike="noStrike">
                <a:solidFill>
                  <a:srgbClr val="000000"/>
                </a:solidFill>
                <a:latin typeface="Calibri"/>
              </a:defRPr>
            </a:pPr>
            <a:r>
              <a:rPr b="1" sz="1200" spc="-1" strike="noStrike">
                <a:solidFill>
                  <a:srgbClr val="000000"/>
                </a:solidFill>
                <a:latin typeface="Calibri"/>
              </a:rPr>
              <a:t>Художественно-эстетическое 
развитие</a:t>
            </a:r>
          </a:p>
        </c:rich>
      </c:tx>
      <c:overlay val="0"/>
      <c:spPr>
        <a:noFill/>
        <a:ln w="0">
          <a:noFill/>
        </a:ln>
      </c:spPr>
    </c:title>
    <c:autoTitleDeleted val="0"/>
    <c:plotArea>
      <c:doughnutChart>
        <c:varyColors val="1"/>
        <c:ser>
          <c:idx val="0"/>
          <c:order val="0"/>
          <c:tx>
            <c:strRef>
              <c:f>label 0</c:f>
              <c:strCache>
                <c:ptCount val="1"/>
                <c:pt idx="0">
                  <c:v>Серия1</c:v>
                </c:pt>
              </c:strCache>
            </c:strRef>
          </c:tx>
          <c:spPr>
            <a:solidFill>
              <a:srgbClr val="4f81bd"/>
            </a:solidFill>
            <a:ln w="0">
              <a:noFill/>
            </a:ln>
          </c:spPr>
          <c:explosion val="0"/>
          <c:dPt>
            <c:idx val="0"/>
            <c:spPr>
              <a:solidFill>
                <a:srgbClr val="4f81bd"/>
              </a:solidFill>
              <a:ln w="0">
                <a:noFill/>
              </a:ln>
            </c:spPr>
          </c:dPt>
          <c:dPt>
            <c:idx val="1"/>
            <c:spPr>
              <a:solidFill>
                <a:srgbClr val="c0504d"/>
              </a:solidFill>
              <a:ln w="0">
                <a:noFill/>
              </a:ln>
            </c:spPr>
          </c:dPt>
          <c:dPt>
            <c:idx val="2"/>
            <c:spPr>
              <a:solidFill>
                <a:srgbClr val="9bbb59"/>
              </a:solidFill>
              <a:ln w="0">
                <a:noFill/>
              </a:ln>
            </c:spPr>
          </c:dPt>
          <c:dLbls>
            <c:dLbl>
              <c:idx val="0"/>
              <c:txPr>
                <a:bodyPr wrap="squar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showLegendKey val="0"/>
              <c:showVal val="0"/>
              <c:showCatName val="0"/>
              <c:showSerName val="0"/>
              <c:showPercent val="1"/>
              <c:separator>
</c:separator>
            </c:dLbl>
            <c:dLbl>
              <c:idx val="1"/>
              <c:txPr>
                <a:bodyPr wrap="squar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showLegendKey val="0"/>
              <c:showVal val="0"/>
              <c:showCatName val="0"/>
              <c:showSerName val="0"/>
              <c:showPercent val="1"/>
              <c:separator>
</c:separator>
            </c:dLbl>
            <c:dLbl>
              <c:idx val="2"/>
              <c:txPr>
                <a:bodyPr wrap="square"/>
                <a:lstStyle/>
                <a:p>
                  <a:pPr>
                    <a:defRPr b="0" sz="1000" spc="-1" strike="noStrike">
                      <a:solidFill>
                        <a:srgbClr val="000000"/>
                      </a:solidFill>
                      <a:latin typeface="Calibri"/>
                    </a:defRPr>
                  </a:pPr>
                </a:p>
              </c:txPr>
              <c:showLegendKey val="0"/>
              <c:showVal val="0"/>
              <c:showCatName val="0"/>
              <c:showSerName val="0"/>
              <c:showPercent val="1"/>
              <c:separator>
</c:separator>
            </c:dLbl>
            <c:txPr>
              <a:bodyPr wrap="square"/>
              <a:lstStyle/>
              <a:p>
                <a:pPr>
                  <a:defRPr b="0" sz="1000" spc="-1" strike="noStrik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1"/>
            <c:separator>
</c:separator>
            <c:showLeaderLines val="0"/>
          </c:dLbls>
          <c:cat>
            <c:strRef>
              <c:f>categories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3"/>
                <c:pt idx="0">
                  <c:v>0.85</c:v>
                </c:pt>
                <c:pt idx="1">
                  <c:v>0.06</c:v>
                </c:pt>
                <c:pt idx="2">
                  <c:v>0.09</c:v>
                </c:pt>
              </c:numCache>
            </c:numRef>
          </c:val>
        </c:ser>
        <c:firstSliceAng val="0"/>
        <c:holeSize val="50"/>
      </c:doughnutChart>
      <c:spPr>
        <a:noFill/>
        <a:ln w="9360">
          <a:noFill/>
        </a:ln>
      </c:spPr>
    </c:plotArea>
    <c:legend>
      <c:legendPos val="t"/>
      <c:overlay val="0"/>
      <c:spPr>
        <a:noFill/>
        <a:ln w="0">
          <a:noFill/>
        </a:ln>
      </c:spPr>
      <c:txPr>
        <a:bodyPr/>
        <a:lstStyle/>
        <a:p>
          <a:pPr>
            <a:defRPr b="0" sz="1000" spc="-1" strike="noStrike">
              <a:solidFill>
                <a:srgbClr val="000000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LibreOffice/7.1.0.3$Windows_X86_64 LibreOffice_project/f6099ecf3d29644b5008cc8f48f42f4a40986e4c</Application>
  <AppVersion>15.0000</AppVersion>
  <Pages>7</Pages>
  <Words>1108</Words>
  <Characters>7965</Characters>
  <CharactersWithSpaces>9089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2023-09-04T13:36:00Z</dcterms:created>
  <dc:creator/>
  <dc:description/>
  <dc:language>ru-RU</dc:language>
  <cp:lastModifiedBy/>
  <dcterms:modified xsi:type="dcterms:W3CDTF">2023-09-11T08:54:34Z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2023-02-21T00:00:00Z</vt:filetime>
  </property>
  <property fmtid="{D5CDD505-2E9C-101B-9397-08002B2CF9AE}" pid="3" name="LastSaved">
    <vt:filetime>2023-09-04T00:00:00Z</vt:filetime>
  </property>
</Properties>
</file>