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_rels/chart1.xml.rels" ContentType="application/vnd.openxmlformats-package.relationships+xml"/>
  <Override PartName="/word/charts/_rels/chart2.xml.rels" ContentType="application/vnd.openxmlformats-package.relationships+xml"/>
  <Override PartName="/word/charts/_rels/chart3.xml.rels" ContentType="application/vnd.openxmlformats-package.relationships+xml"/>
  <Override PartName="/word/charts/_rels/chart4.xml.rels" ContentType="application/vnd.openxmlformats-package.relationships+xml"/>
  <Override PartName="/word/charts/_rels/chart5.xml.rels" ContentType="application/vnd.openxmlformats-package.relationships+xml"/>
  <Override PartName="/word/charts/_rels/chart10.xml.rels" ContentType="application/vnd.openxmlformats-package.relationships+xml"/>
  <Override PartName="/word/charts/_rels/chart6.xml.rels" ContentType="application/vnd.openxmlformats-package.relationships+xml"/>
  <Override PartName="/word/charts/_rels/chart7.xml.rels" ContentType="application/vnd.openxmlformats-package.relationships+xml"/>
  <Override PartName="/word/charts/_rels/chart8.xml.rels" ContentType="application/vnd.openxmlformats-package.relationships+xml"/>
  <Override PartName="/word/charts/_rels/chart9.xml.rels" ContentType="application/vnd.openxmlformats-package.relationship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embeddings/Microsoft_Excel_Worksheet3.xlsx" ContentType="application/vnd.openxmlformats-officedocument.spreadsheetml.sheet"/>
  <Override PartName="/word/embeddings/Microsoft_Excel_Worksheet.xlsx" ContentType="application/vnd.openxmlformats-officedocument.spreadsheetml.sheet"/>
  <Override PartName="/word/embeddings/Microsoft_Excel_Worksheet8.xlsx" ContentType="application/vnd.openxmlformats-officedocument.spreadsheetml.sheet"/>
  <Override PartName="/word/embeddings/Microsoft_Excel_Worksheet2.xlsx" ContentType="application/vnd.openxmlformats-officedocument.spreadsheetml.sheet"/>
  <Override PartName="/word/embeddings/Microsoft_Excel_Worksheet7.xlsx" ContentType="application/vnd.openxmlformats-officedocument.spreadsheetml.sheet"/>
  <Override PartName="/word/embeddings/Microsoft_Excel_Worksheet1.xlsx" ContentType="application/vnd.openxmlformats-officedocument.spreadsheetml.sheet"/>
  <Override PartName="/word/embeddings/Microsoft_Excel_Worksheet6.xlsx" ContentType="application/vnd.openxmlformats-officedocument.spreadsheetml.sheet"/>
  <Override PartName="/word/embeddings/Microsoft_Excel_Worksheet5.xlsx" ContentType="application/vnd.openxmlformats-officedocument.spreadsheetml.sheet"/>
  <Override PartName="/word/embeddings/Microsoft_Excel_Worksheet4.xlsx" ContentType="application/vnd.openxmlformats-officedocument.spreadsheetml.sheet"/>
  <Override PartName="/word/embeddings/Microsoft_Excel_Worksheet9.xlsx" ContentType="application/vnd.openxmlformats-officedocument.spreadsheetml.sheet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"/>
        <w:spacing w:lineRule="auto" w:line="276" w:before="67" w:after="0"/>
        <w:ind w:left="475" w:right="4235" w:hang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>СПРАВКА</w:t>
      </w:r>
    </w:p>
    <w:p>
      <w:pPr>
        <w:pStyle w:val="Normal"/>
        <w:spacing w:lineRule="auto" w:line="276"/>
        <w:ind w:left="1692" w:right="664" w:firstLine="724"/>
        <w:jc w:val="center"/>
        <w:rPr>
          <w:sz w:val="28"/>
          <w:szCs w:val="28"/>
        </w:rPr>
      </w:pPr>
      <w:r>
        <w:rPr>
          <w:b/>
          <w:sz w:val="28"/>
          <w:szCs w:val="28"/>
        </w:rPr>
        <w:t>по результатам педагогической диагностики (мониторинга)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освоения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z w:val="28"/>
          <w:szCs w:val="28"/>
        </w:rPr>
        <w:t>детьми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образовательной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z w:val="28"/>
          <w:szCs w:val="28"/>
        </w:rPr>
        <w:t>программы</w:t>
      </w:r>
      <w:r>
        <w:rPr>
          <w:b/>
          <w:spacing w:val="-6"/>
          <w:sz w:val="28"/>
          <w:szCs w:val="28"/>
        </w:rPr>
        <w:t xml:space="preserve"> </w:t>
      </w:r>
      <w:r>
        <w:rPr>
          <w:b/>
          <w:sz w:val="28"/>
          <w:szCs w:val="28"/>
        </w:rPr>
        <w:t>дошкольного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образования </w:t>
      </w:r>
      <w:r>
        <w:rPr>
          <w:sz w:val="28"/>
          <w:szCs w:val="28"/>
        </w:rPr>
        <w:t>за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2021-2022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учебный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год</w:t>
      </w:r>
    </w:p>
    <w:p>
      <w:pPr>
        <w:pStyle w:val="Style13"/>
        <w:spacing w:lineRule="auto" w:line="276" w:before="4" w:after="0"/>
        <w:ind w:left="0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Style13"/>
        <w:spacing w:lineRule="auto" w:line="276"/>
        <w:jc w:val="both"/>
        <w:rPr>
          <w:sz w:val="28"/>
          <w:szCs w:val="28"/>
        </w:rPr>
      </w:pPr>
      <w:r>
        <w:rPr>
          <w:b/>
          <w:sz w:val="28"/>
          <w:szCs w:val="28"/>
          <w:u w:val="thick"/>
        </w:rPr>
        <w:t>Основание</w:t>
      </w:r>
      <w:r>
        <w:rPr>
          <w:sz w:val="28"/>
          <w:szCs w:val="28"/>
          <w:u w:val="thick"/>
        </w:rPr>
        <w:t>: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Приказ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«О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педагогической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диагностики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(мониторинга)»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11.09.2021</w:t>
      </w:r>
    </w:p>
    <w:p>
      <w:pPr>
        <w:pStyle w:val="Style13"/>
        <w:spacing w:lineRule="auto" w:line="276"/>
        <w:jc w:val="both"/>
        <w:rPr>
          <w:sz w:val="28"/>
          <w:szCs w:val="28"/>
        </w:rPr>
      </w:pPr>
      <w:r>
        <w:rPr>
          <w:sz w:val="28"/>
          <w:szCs w:val="28"/>
        </w:rPr>
        <w:t>№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25</w:t>
      </w:r>
    </w:p>
    <w:p>
      <w:pPr>
        <w:pStyle w:val="Style13"/>
        <w:spacing w:lineRule="auto" w:line="276"/>
        <w:ind w:left="475" w:right="146" w:hanging="0"/>
        <w:jc w:val="both"/>
        <w:rPr>
          <w:sz w:val="28"/>
          <w:szCs w:val="28"/>
        </w:rPr>
      </w:pPr>
      <w:r>
        <w:rPr>
          <w:b/>
          <w:sz w:val="28"/>
          <w:szCs w:val="28"/>
          <w:u w:val="thick"/>
        </w:rPr>
        <w:t>Цель:</w:t>
      </w:r>
      <w:r>
        <w:rPr>
          <w:b/>
          <w:spacing w:val="1"/>
          <w:sz w:val="28"/>
          <w:szCs w:val="28"/>
          <w:u w:val="thick"/>
        </w:rPr>
        <w:t xml:space="preserve"> </w:t>
      </w:r>
      <w:r>
        <w:rPr>
          <w:sz w:val="28"/>
          <w:szCs w:val="28"/>
        </w:rPr>
        <w:t>определение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уровня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освоения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образовательной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программы,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изучение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динамики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достижений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воспитанниками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всем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направлениям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развития,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построение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образовательной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траектории,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прогнозирование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педагогической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работы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детьми,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определение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эффективности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образовательной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деятельности.</w:t>
      </w:r>
    </w:p>
    <w:p>
      <w:pPr>
        <w:pStyle w:val="Normal"/>
        <w:spacing w:lineRule="auto" w:line="276"/>
        <w:ind w:left="475" w:right="6202" w:hanging="0"/>
        <w:rPr>
          <w:spacing w:val="-57"/>
          <w:sz w:val="28"/>
          <w:szCs w:val="28"/>
        </w:rPr>
      </w:pPr>
      <w:r>
        <w:rPr>
          <w:b/>
          <w:sz w:val="28"/>
          <w:szCs w:val="28"/>
          <w:u w:val="single"/>
        </w:rPr>
        <w:t>Срок проведения</w:t>
      </w:r>
      <w:r>
        <w:rPr>
          <w:sz w:val="28"/>
          <w:szCs w:val="28"/>
          <w:u w:val="single"/>
        </w:rPr>
        <w:t>: 14.05-29.05.2022г</w:t>
      </w:r>
      <w:r>
        <w:rPr>
          <w:sz w:val="28"/>
          <w:szCs w:val="28"/>
        </w:rPr>
        <w:t>.</w:t>
      </w:r>
      <w:r>
        <w:rPr>
          <w:spacing w:val="-57"/>
          <w:sz w:val="28"/>
          <w:szCs w:val="28"/>
        </w:rPr>
        <w:t xml:space="preserve"> </w:t>
      </w:r>
    </w:p>
    <w:p>
      <w:pPr>
        <w:pStyle w:val="Normal"/>
        <w:spacing w:lineRule="auto" w:line="276"/>
        <w:ind w:left="475" w:right="6202" w:hanging="0"/>
        <w:jc w:val="both"/>
        <w:rPr>
          <w:sz w:val="28"/>
          <w:szCs w:val="28"/>
        </w:rPr>
      </w:pPr>
      <w:r>
        <w:rPr>
          <w:b/>
          <w:sz w:val="28"/>
          <w:szCs w:val="28"/>
          <w:u w:val="thick"/>
        </w:rPr>
        <w:t>Количество</w:t>
      </w:r>
      <w:r>
        <w:rPr>
          <w:b/>
          <w:spacing w:val="-2"/>
          <w:sz w:val="28"/>
          <w:szCs w:val="28"/>
          <w:u w:val="thick"/>
        </w:rPr>
        <w:t xml:space="preserve"> </w:t>
      </w:r>
      <w:r>
        <w:rPr>
          <w:b/>
          <w:sz w:val="28"/>
          <w:szCs w:val="28"/>
          <w:u w:val="thick"/>
        </w:rPr>
        <w:t>детей</w:t>
      </w:r>
      <w:r>
        <w:rPr>
          <w:sz w:val="28"/>
          <w:szCs w:val="28"/>
          <w:u w:val="thick"/>
        </w:rPr>
        <w:t>:</w:t>
      </w:r>
      <w:r>
        <w:rPr>
          <w:sz w:val="28"/>
          <w:szCs w:val="28"/>
        </w:rPr>
        <w:t xml:space="preserve"> 21</w:t>
      </w:r>
    </w:p>
    <w:p>
      <w:pPr>
        <w:pStyle w:val="Normal"/>
        <w:spacing w:lineRule="auto" w:line="276"/>
        <w:ind w:left="475" w:hanging="0"/>
        <w:jc w:val="both"/>
        <w:rPr>
          <w:sz w:val="28"/>
          <w:szCs w:val="28"/>
        </w:rPr>
      </w:pPr>
      <w:r>
        <w:rPr/>
      </w:r>
    </w:p>
    <w:p>
      <w:pPr>
        <w:pStyle w:val="Style13"/>
        <w:spacing w:lineRule="auto" w:line="276"/>
        <w:ind w:left="475" w:right="143" w:hanging="0"/>
        <w:jc w:val="both"/>
        <w:rPr>
          <w:sz w:val="28"/>
          <w:szCs w:val="28"/>
        </w:rPr>
      </w:pPr>
      <w:r>
        <w:rPr>
          <w:sz w:val="28"/>
          <w:szCs w:val="28"/>
        </w:rPr>
        <w:t>Педагогическая диагностика проводилась на основании беседы, наблюдения, анализа продуктов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детской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деятельности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диагностических заданий.</w:t>
      </w:r>
    </w:p>
    <w:p>
      <w:pPr>
        <w:pStyle w:val="Style13"/>
        <w:spacing w:lineRule="auto" w:line="276"/>
        <w:ind w:left="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3"/>
        <w:spacing w:lineRule="auto" w:line="276"/>
        <w:jc w:val="both"/>
        <w:rPr>
          <w:sz w:val="28"/>
          <w:szCs w:val="28"/>
        </w:rPr>
      </w:pPr>
      <w:r>
        <w:rPr>
          <w:b/>
          <w:sz w:val="28"/>
          <w:szCs w:val="28"/>
        </w:rPr>
        <w:t>Педагогическая</w:t>
      </w:r>
      <w:r>
        <w:rPr>
          <w:b/>
          <w:spacing w:val="10"/>
          <w:sz w:val="28"/>
          <w:szCs w:val="28"/>
        </w:rPr>
        <w:t xml:space="preserve"> </w:t>
      </w:r>
      <w:r>
        <w:rPr>
          <w:b/>
          <w:sz w:val="28"/>
          <w:szCs w:val="28"/>
        </w:rPr>
        <w:t>диагностика</w:t>
      </w:r>
      <w:r>
        <w:rPr>
          <w:b/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проводится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основе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>«Инструментария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педагогической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диагностики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качества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образования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(через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реализацию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образовательных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областей)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программе</w:t>
      </w:r>
    </w:p>
    <w:p>
      <w:pPr>
        <w:pStyle w:val="Style13"/>
        <w:spacing w:lineRule="auto" w:line="276" w:before="1" w:after="0"/>
        <w:jc w:val="both"/>
        <w:rPr>
          <w:sz w:val="28"/>
          <w:szCs w:val="28"/>
        </w:rPr>
      </w:pPr>
      <w:r>
        <w:rPr>
          <w:sz w:val="28"/>
          <w:szCs w:val="28"/>
        </w:rPr>
        <w:t>«Детский сад – 2100»</w:t>
      </w:r>
    </w:p>
    <w:p>
      <w:pPr>
        <w:pStyle w:val="Style13"/>
        <w:spacing w:lineRule="auto" w:line="276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результате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педагогической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диагностики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было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выявлено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следующее:</w:t>
      </w:r>
    </w:p>
    <w:p>
      <w:pPr>
        <w:pStyle w:val="Style13"/>
        <w:spacing w:lineRule="auto" w:line="276" w:before="4"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Итоговые результаты </w:t>
      </w:r>
      <w:r>
        <w:rPr>
          <w:sz w:val="28"/>
          <w:szCs w:val="28"/>
        </w:rPr>
        <w:t>по достижениям детьми планируемых результатов освоения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образовательной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программы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дошкольного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образования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2021-2022 учебный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год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(начало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года).</w:t>
      </w:r>
    </w:p>
    <w:p>
      <w:pPr>
        <w:pStyle w:val="1"/>
        <w:spacing w:lineRule="auto" w:line="276" w:before="204" w:after="0"/>
        <w:jc w:val="both"/>
        <w:rPr>
          <w:u w:val="none"/>
        </w:rPr>
      </w:pPr>
      <w:r>
        <w:rPr>
          <w:u w:val="thick"/>
        </w:rPr>
        <w:t>«Речевое</w:t>
      </w:r>
      <w:r>
        <w:rPr>
          <w:spacing w:val="-4"/>
          <w:u w:val="thick"/>
        </w:rPr>
        <w:t xml:space="preserve"> </w:t>
      </w:r>
      <w:r>
        <w:rPr>
          <w:u w:val="thick"/>
        </w:rPr>
        <w:t>развитие»</w:t>
      </w:r>
    </w:p>
    <w:p>
      <w:pPr>
        <w:pStyle w:val="2"/>
        <w:spacing w:lineRule="auto" w:line="276" w:before="6" w:after="0"/>
        <w:ind w:left="1015" w:right="6202" w:hanging="540"/>
        <w:jc w:val="both"/>
        <w:rPr>
          <w:b w:val="false"/>
          <w:b w:val="false"/>
          <w:sz w:val="28"/>
          <w:szCs w:val="28"/>
        </w:rPr>
      </w:pPr>
      <w:r>
        <w:rPr>
          <w:sz w:val="28"/>
          <w:szCs w:val="28"/>
        </w:rPr>
        <w:t>Количественный анализ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Обследовано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детей</w:t>
      </w:r>
      <w:r>
        <w:rPr>
          <w:b w:val="false"/>
          <w:sz w:val="28"/>
          <w:szCs w:val="28"/>
        </w:rPr>
        <w:t>:</w:t>
      </w:r>
      <w:r>
        <w:rPr>
          <w:b w:val="false"/>
          <w:spacing w:val="-6"/>
          <w:sz w:val="28"/>
          <w:szCs w:val="28"/>
        </w:rPr>
        <w:t xml:space="preserve"> </w:t>
      </w:r>
      <w:r>
        <w:rPr>
          <w:b w:val="false"/>
          <w:sz w:val="28"/>
          <w:szCs w:val="28"/>
        </w:rPr>
        <w:t>21</w:t>
      </w:r>
    </w:p>
    <w:p>
      <w:pPr>
        <w:pStyle w:val="Style13"/>
        <w:spacing w:lineRule="auto" w:line="276" w:before="3" w:after="0"/>
        <w:ind w:left="1015" w:hanging="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– 2 (10%)</w:t>
      </w:r>
    </w:p>
    <w:p>
      <w:pPr>
        <w:pStyle w:val="Style13"/>
        <w:spacing w:lineRule="auto" w:line="276"/>
        <w:ind w:left="1015" w:hanging="0"/>
        <w:jc w:val="both"/>
        <w:rPr>
          <w:sz w:val="28"/>
          <w:szCs w:val="28"/>
        </w:rPr>
      </w:pPr>
      <w:r>
        <w:rPr>
          <w:sz w:val="28"/>
          <w:szCs w:val="28"/>
        </w:rPr>
        <w:t>С – 13 (60%)</w:t>
      </w:r>
    </w:p>
    <w:p>
      <w:pPr>
        <w:pStyle w:val="Style13"/>
        <w:spacing w:lineRule="auto" w:line="276"/>
        <w:ind w:left="1015" w:hanging="0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– 6 (30%)</w:t>
      </w:r>
    </w:p>
    <w:p>
      <w:pPr>
        <w:pStyle w:val="Style13"/>
        <w:spacing w:lineRule="auto" w:line="276"/>
        <w:ind w:left="475" w:right="143" w:hang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Качественный анализ: </w:t>
      </w:r>
      <w:r>
        <w:rPr>
          <w:sz w:val="28"/>
          <w:szCs w:val="28"/>
        </w:rPr>
        <w:t>дети активно используют сложносочиненные и сложноподчиненные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предложения.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Общаются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взрослым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детьми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темы,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выходящие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посредственно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воспринимаемой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ситуации.</w:t>
      </w:r>
    </w:p>
    <w:p>
      <w:pPr>
        <w:pStyle w:val="Style13"/>
        <w:spacing w:lineRule="auto" w:line="276"/>
        <w:ind w:left="475" w:right="147" w:hang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Дети, имеющие высокий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уровень</w:t>
      </w:r>
      <w:r>
        <w:rPr>
          <w:b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овладения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умениями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навыками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данной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области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проявляют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интерес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речевому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общению.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Аргументируют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суждения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пользуются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формой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речи</w:t>
      </w:r>
    </w:p>
    <w:p>
      <w:pPr>
        <w:pStyle w:val="Style13"/>
        <w:spacing w:lineRule="auto" w:line="276"/>
        <w:ind w:left="475" w:right="147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>доказательства с помощью взрослого. Составляет по образцу рассказы по сюжетной картине,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 набору картинок; последовательно, без существенных пропусков пересказывают небольшие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литературные произведения. Но в тоже время испытывают затруднения и в замене слова другим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словом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сходным значением.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У данных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детей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недостаточно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развит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фонематический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слух.</w:t>
      </w:r>
    </w:p>
    <w:p>
      <w:pPr>
        <w:pStyle w:val="Style13"/>
        <w:spacing w:lineRule="auto" w:line="276"/>
        <w:ind w:left="475" w:right="149" w:hang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Дети, имеющие средний уровень</w:t>
      </w:r>
      <w:r>
        <w:rPr>
          <w:sz w:val="28"/>
          <w:szCs w:val="28"/>
        </w:rPr>
        <w:t>, испытывают серьёзные затруднения по всем проверяемым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параметрам.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Прежде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всего,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это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связано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индивидуальными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особенностями,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частыми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пропусками.</w:t>
      </w:r>
    </w:p>
    <w:p>
      <w:pPr>
        <w:pStyle w:val="Style13"/>
        <w:spacing w:lineRule="auto" w:line="276"/>
        <w:ind w:left="475" w:right="145" w:hang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Планируемая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работа:</w:t>
      </w:r>
      <w:r>
        <w:rPr>
          <w:b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течение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учебного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года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детьми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планируется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следующая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работа: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индивидуальные занятия по речевым заданиям, дидактические игры, чтение художественной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литературы,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провести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беседы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консультации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родителями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данному</w:t>
      </w:r>
      <w:r>
        <w:rPr>
          <w:spacing w:val="57"/>
          <w:sz w:val="28"/>
          <w:szCs w:val="28"/>
        </w:rPr>
        <w:t xml:space="preserve"> </w:t>
      </w:r>
      <w:r>
        <w:rPr>
          <w:sz w:val="28"/>
          <w:szCs w:val="28"/>
        </w:rPr>
        <w:t>разделу.</w:t>
      </w:r>
    </w:p>
    <w:p>
      <w:pPr>
        <w:sectPr>
          <w:type w:val="nextPage"/>
          <w:pgSz w:w="11906" w:h="16838"/>
          <w:pgMar w:left="660" w:right="680" w:header="0" w:top="1040" w:footer="0" w:bottom="280" w:gutter="0"/>
          <w:pgNumType w:fmt="decimal"/>
          <w:formProt w:val="false"/>
          <w:textDirection w:val="lrTb"/>
        </w:sectPr>
      </w:pPr>
    </w:p>
    <w:p>
      <w:pPr>
        <w:pStyle w:val="Normal"/>
        <w:widowControl/>
        <w:spacing w:lineRule="auto" w:line="276" w:before="0" w:after="200"/>
        <w:jc w:val="both"/>
        <w:rPr>
          <w:rFonts w:eastAsia="Calibri"/>
          <w:b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</w:r>
    </w:p>
    <w:p>
      <w:pPr>
        <w:pStyle w:val="Normal"/>
        <w:widowControl/>
        <w:spacing w:lineRule="auto" w:line="276" w:before="0" w:after="200"/>
        <w:jc w:val="both"/>
        <w:rPr>
          <w:rFonts w:eastAsia="Calibri"/>
          <w:b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Результаты освоения воспитанниками основной образовательной программы </w:t>
      </w:r>
    </w:p>
    <w:p>
      <w:pPr>
        <w:pStyle w:val="Normal"/>
        <w:widowControl/>
        <w:spacing w:lineRule="auto" w:line="276" w:before="0" w:after="200"/>
        <w:jc w:val="both"/>
        <w:rPr>
          <w:rFonts w:eastAsia="Calibri"/>
          <w:b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за 2021 – 2022 учебный год.</w:t>
      </w:r>
    </w:p>
    <w:p>
      <w:pPr>
        <w:pStyle w:val="Normal"/>
        <w:widowControl/>
        <w:spacing w:lineRule="auto" w:line="276" w:before="0" w:after="200"/>
        <w:jc w:val="both"/>
        <w:rPr>
          <w:rFonts w:eastAsia="Calibri"/>
          <w:b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Образовательная область «Познавательное развитие»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На начало учебного года знание детей составило – 68%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На конец года – 81%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Высокий уровень – 2%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Средний уровень – 79%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Низкий уровень –19%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</w:r>
    </w:p>
    <w:p>
      <w:pPr>
        <w:pStyle w:val="Normal"/>
        <w:widowControl/>
        <w:spacing w:lineRule="auto" w:line="276" w:before="0" w:after="200"/>
        <w:jc w:val="both"/>
        <w:rPr>
          <w:rFonts w:eastAsia="Calibri"/>
          <w:b/>
          <w:b/>
          <w:sz w:val="28"/>
          <w:szCs w:val="28"/>
        </w:rPr>
      </w:pPr>
      <w:r>
        <w:rPr/>
        <w:drawing>
          <wp:inline distT="0" distB="0" distL="0" distR="0">
            <wp:extent cx="2704465" cy="1945640"/>
            <wp:effectExtent l="0" t="0" r="0" b="0"/>
            <wp:docPr id="1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"/>
              </a:graphicData>
            </a:graphic>
          </wp:inline>
        </w:drawing>
      </w:r>
      <w:r>
        <w:rPr>
          <w:rFonts w:eastAsia="Calibri"/>
          <w:b/>
          <w:sz w:val="28"/>
          <w:szCs w:val="28"/>
        </w:rPr>
        <w:t>…</w:t>
      </w:r>
      <w:r>
        <w:rPr/>
        <w:drawing>
          <wp:inline distT="0" distB="0" distL="0" distR="0">
            <wp:extent cx="2869565" cy="1945640"/>
            <wp:effectExtent l="0" t="0" r="0" b="0"/>
            <wp:docPr id="2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"/>
              </a:graphicData>
            </a:graphic>
          </wp:inline>
        </w:drawing>
      </w:r>
    </w:p>
    <w:p>
      <w:pPr>
        <w:pStyle w:val="Normal"/>
        <w:widowControl/>
        <w:spacing w:lineRule="auto" w:line="276" w:before="0" w:after="200"/>
        <w:jc w:val="both"/>
        <w:rPr>
          <w:rFonts w:eastAsia="Calibri"/>
          <w:b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Вывод: </w:t>
      </w:r>
      <w:r>
        <w:rPr>
          <w:rFonts w:eastAsia="Calibri"/>
          <w:sz w:val="28"/>
          <w:szCs w:val="28"/>
        </w:rPr>
        <w:t xml:space="preserve">Анализ мониторинга показал, что работа в течение года направленная на развитие любознательности и познавательной мотивации, была продуктивной. Дети называют виды транспорта, инструменты, бытовую технику. Определяют и сопоставляют свойства предметов и материалов, из которых изготовлены знакомые и малознакомые предметы. Достаточно владеют знаниями по разделу «Моя малая Родина». Большинство детей знает герб, флаг, гимн России; называют столицу; имеют представление о родном крае, его достопримечательностях. Также дети хорошо освоили сенсорные эталоны, различают и называют геометрические фигуры, правильно пользуются порядковым счётом. Однако необходимо обратить внимание на расположение предметов на плоскости, недостаточно хорошо ориентируются в пространстве (на себе, на другом человеке). 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b/>
          <w:bCs/>
          <w:iCs/>
          <w:sz w:val="28"/>
          <w:szCs w:val="28"/>
        </w:rPr>
        <w:t>Рекомендации:</w:t>
      </w:r>
      <w:r>
        <w:rPr>
          <w:rFonts w:eastAsia="Calibri"/>
          <w:sz w:val="28"/>
          <w:szCs w:val="28"/>
        </w:rPr>
        <w:t xml:space="preserve"> необходимо в подготовительной группе продолжить работу с детьми по ориентированию в пространстве, с помощью дидактических игр, логических заданий, подвижных игр. Также будут проведены различные формы взаимодействия с детьми по развитию интереса к экспериментированию, к стремлению самостоятельного исследования объектов природы, предметов.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</w:r>
    </w:p>
    <w:p>
      <w:pPr>
        <w:pStyle w:val="Normal"/>
        <w:widowControl/>
        <w:spacing w:lineRule="auto" w:line="276" w:before="0" w:after="200"/>
        <w:jc w:val="both"/>
        <w:rPr>
          <w:rFonts w:eastAsia="Calibri"/>
          <w:b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Образовательная область «Речевое развитие»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На начало учебного года знание детей составило – 54%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На конец года – 70%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Высокий уровень – 0%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Средний уровень – 70%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Низкий уровень – 30%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/>
        <w:drawing>
          <wp:inline distT="0" distB="0" distL="0" distR="0">
            <wp:extent cx="2684780" cy="1838325"/>
            <wp:effectExtent l="0" t="0" r="0" b="0"/>
            <wp:docPr id="3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  <w:r>
        <w:rPr>
          <w:rFonts w:eastAsia="Calibri"/>
          <w:sz w:val="28"/>
          <w:szCs w:val="28"/>
        </w:rPr>
        <w:t>…</w:t>
      </w:r>
      <w:r>
        <w:rPr/>
        <w:drawing>
          <wp:inline distT="0" distB="0" distL="0" distR="0">
            <wp:extent cx="2811145" cy="1848485"/>
            <wp:effectExtent l="0" t="0" r="0" b="0"/>
            <wp:docPr id="4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</w:r>
    </w:p>
    <w:p>
      <w:pPr>
        <w:pStyle w:val="Normal"/>
        <w:widowControl/>
        <w:spacing w:lineRule="auto" w:line="276"/>
        <w:jc w:val="both"/>
        <w:rPr>
          <w:rFonts w:eastAsia="Calibri"/>
          <w:b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Вывод: </w:t>
      </w:r>
      <w:r>
        <w:rPr>
          <w:rFonts w:eastAsia="Calibri"/>
          <w:sz w:val="28"/>
          <w:szCs w:val="28"/>
        </w:rPr>
        <w:t>Дети со средним уровнем владеют некоторыми умениями и навыками в данной области, проявляют интерес к речевому развитию, а именно: поддерживают беседу, высказывают свою точку зрения, согласие/несогласие, используют все части речи. Подбирают к существительному прилагательное, умеют подбирать синоним, определяют место звука в слове. Драматизируют небольшую сказку, читают по ролям стихотворение, рассматривают и анализируют иллюстрации детских книг, проявляют интерес к ним, с помощью взрослого пересказывают небольшие литературные произведения.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Дети с низким уровнем испытывают затруднения по всем проверяемым параметрам, из-за ограничения речевых контактов недостаточно сформированы социально–коммуникативные качества, нежелание подчиняться общим правилам.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b/>
          <w:sz w:val="28"/>
          <w:szCs w:val="28"/>
        </w:rPr>
        <w:t>Рекомендации:</w:t>
      </w:r>
      <w:r>
        <w:rPr>
          <w:rFonts w:eastAsia="Calibri"/>
          <w:sz w:val="28"/>
          <w:szCs w:val="28"/>
        </w:rPr>
        <w:t xml:space="preserve"> Необходимо продолжать уделять серьёзное внимание развитию речи и коммуникативным навыкам детей через индивидуальную работу, образовательную организованную деятельность. Учить детей внимательно слушать литературные произведения, употреблять в речи существительные с обобщающим значением (овощи, фрукты, животные и т. д., расширять знания о жанрах литературы, заучивать стихи, пословицы, поговорки). Продолжать проводить индивидуальную работу с учителем логопедом, с родителями, рекомендовать совместную работу с педагогом-психологом.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</w:r>
    </w:p>
    <w:p>
      <w:pPr>
        <w:pStyle w:val="Normal"/>
        <w:widowControl/>
        <w:spacing w:lineRule="auto" w:line="276"/>
        <w:jc w:val="both"/>
        <w:rPr>
          <w:rFonts w:eastAsia="Calibri"/>
          <w:b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Образовательная область «Социально – коммуникативное развитие»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На начало учебного года знание детей составило – 70%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На конец года – 86%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Высокий уровень – 12%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Средний уровень – 74%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Низкий уровень – 14%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/>
        <w:drawing>
          <wp:inline distT="0" distB="0" distL="0" distR="0">
            <wp:extent cx="2733675" cy="2032635"/>
            <wp:effectExtent l="0" t="0" r="0" b="0"/>
            <wp:docPr id="5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  <w:r>
        <w:rPr>
          <w:rFonts w:eastAsia="Calibri"/>
          <w:sz w:val="28"/>
          <w:szCs w:val="28"/>
        </w:rPr>
        <w:t>…</w:t>
      </w:r>
      <w:r>
        <w:rPr/>
        <w:drawing>
          <wp:inline distT="0" distB="0" distL="0" distR="0">
            <wp:extent cx="2694305" cy="2032635"/>
            <wp:effectExtent l="0" t="0" r="0" b="0"/>
            <wp:docPr id="6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</w:r>
    </w:p>
    <w:p>
      <w:pPr>
        <w:pStyle w:val="Normal"/>
        <w:widowControl/>
        <w:spacing w:lineRule="auto" w:line="276"/>
        <w:jc w:val="both"/>
        <w:rPr>
          <w:rFonts w:eastAsia="Calibri"/>
          <w:b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Вывод: </w:t>
      </w:r>
      <w:r>
        <w:rPr>
          <w:rFonts w:eastAsia="Calibri"/>
          <w:sz w:val="28"/>
          <w:szCs w:val="28"/>
        </w:rPr>
        <w:t xml:space="preserve">Анализ мониторинга на конец года показал, что дети  успешно усвоили нормы и ценности принятые в обществе, знают правила поведения в общественных местах, транспорте, в общении с взрослыми и сверстниками, хорошо освоены навыки дежурства по столовой и уголке природы. Имеют предпочтения в игре, выборе видов труда и творчестве. Проявляют интерес к совместным играм со сверстниками, в том числе игры с правилами, сюжетно - ролевые игры; предполагают варианты развития сюжета, выдерживают принятую роль. Некоторые дети  испытывают затруднения в нравственной оценке поступков, с трудом выражают эмоциональное состояние, этические качества, эстетические характеристики из-за недостаточного словарного запаса. 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b/>
          <w:bCs/>
          <w:iCs/>
          <w:sz w:val="28"/>
          <w:szCs w:val="28"/>
        </w:rPr>
        <w:t>Рекомендации</w:t>
      </w:r>
      <w:r>
        <w:rPr>
          <w:rFonts w:eastAsia="Calibri"/>
          <w:b/>
          <w:bCs/>
          <w:i/>
          <w:iCs/>
          <w:sz w:val="28"/>
          <w:szCs w:val="28"/>
        </w:rPr>
        <w:t>:</w:t>
      </w:r>
      <w:r>
        <w:rPr>
          <w:rFonts w:eastAsia="Calibri"/>
          <w:sz w:val="28"/>
          <w:szCs w:val="28"/>
        </w:rPr>
        <w:t xml:space="preserve"> необходимо в подготовительной группе продолжить обучать эмоционально откликаться на переживание близких взрослых, детей, персонажей сказок, мультфильмов и кукольных спектаклей, рассказов. Также проводить коммуникативные игры с речевым содержанием. Запланированы мероприятия взаимодействия с родителями о нравственном поведении и социальным нормам.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</w:r>
    </w:p>
    <w:p>
      <w:pPr>
        <w:pStyle w:val="Normal"/>
        <w:widowControl/>
        <w:spacing w:lineRule="auto" w:line="276"/>
        <w:jc w:val="both"/>
        <w:rPr>
          <w:rFonts w:eastAsia="Calibri"/>
          <w:b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Образовательная область «Физическое развитие»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На начало учебного года знание детей составило – 64%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На конец года – 80%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Высокий уровень – 12%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Средний уровень – 68%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Низкий уровень – 20%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/>
        <w:drawing>
          <wp:inline distT="0" distB="0" distL="0" distR="0">
            <wp:extent cx="2636520" cy="2169160"/>
            <wp:effectExtent l="0" t="0" r="0" b="0"/>
            <wp:docPr id="7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>
        <w:rPr>
          <w:rFonts w:eastAsia="Calibri"/>
          <w:sz w:val="28"/>
          <w:szCs w:val="28"/>
        </w:rPr>
        <w:t>…</w:t>
      </w:r>
      <w:r>
        <w:rPr/>
        <w:drawing>
          <wp:inline distT="0" distB="0" distL="0" distR="0">
            <wp:extent cx="2607310" cy="2169160"/>
            <wp:effectExtent l="0" t="0" r="0" b="0"/>
            <wp:docPr id="8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b/>
          <w:sz w:val="28"/>
          <w:szCs w:val="28"/>
        </w:rPr>
        <w:t>Вывод:</w:t>
      </w:r>
      <w:r>
        <w:rPr>
          <w:rFonts w:eastAsia="Calibri"/>
          <w:sz w:val="28"/>
          <w:szCs w:val="28"/>
        </w:rPr>
        <w:t xml:space="preserve"> По данным результатам проведенного мониторинга, к концу учебного года основные виды движений – ходьба, бег, равновесие, прыжки, упражнения с мячом и обручем, физические качества достаточно сформированы и развиты практически у всех детей группы. Знают о важных и вредных факторах для здоровья, о значении для здоровья утренней гимнастики, закаливания, режима дня. Соблюдают элементарные правила личной гигиены, самообслуживания, опрятности и умеют быстро одеваться и раздеваться, соблюдают порядок в шкафчиках.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b/>
          <w:iCs/>
          <w:sz w:val="28"/>
          <w:szCs w:val="28"/>
        </w:rPr>
        <w:t>Рекомендации:</w:t>
      </w:r>
      <w:r>
        <w:rPr>
          <w:rFonts w:eastAsia="Calibri"/>
          <w:sz w:val="28"/>
          <w:szCs w:val="28"/>
        </w:rPr>
        <w:t xml:space="preserve"> чаще проводить индивидуальную работу, продолжать создавать развивающую предметно – пространственную среду для оптимальной двигательной активности детей в ДОУ, уделять особое внимание закреплению основных видов движения, развитию основных физических качеств, созданию здоровье сберегающих факторов (утренняя гимнастика, гимнастика после сна, профилактика плоскостопия и нарушения осанки, закаливание). Повышать популярность принципов здорового образа жизни в семейном воспитании, проводить совместные спортивные детско - родительские мероприятия.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</w:r>
    </w:p>
    <w:p>
      <w:pPr>
        <w:pStyle w:val="Normal"/>
        <w:widowControl/>
        <w:spacing w:lineRule="auto" w:line="276"/>
        <w:jc w:val="both"/>
        <w:rPr>
          <w:rFonts w:eastAsia="Calibri"/>
          <w:b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Образовательная область «Художественно – эстетическое развитие»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На начало учебного года знание детей составило – 54%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На конец года – 76%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Высокий уровень – 18%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Средний уровень – 58%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Низкий уровень – 24%</w:t>
      </w:r>
    </w:p>
    <w:p>
      <w:pPr>
        <w:pStyle w:val="Normal"/>
        <w:widowControl/>
        <w:spacing w:lineRule="auto" w:line="276"/>
        <w:jc w:val="both"/>
        <w:rPr>
          <w:rFonts w:eastAsia="Calibri"/>
          <w:b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</w:r>
    </w:p>
    <w:p>
      <w:pPr>
        <w:pStyle w:val="Normal"/>
        <w:widowControl/>
        <w:spacing w:lineRule="auto" w:line="276"/>
        <w:jc w:val="both"/>
        <w:rPr>
          <w:rFonts w:eastAsia="Calibri"/>
          <w:b/>
          <w:b/>
          <w:sz w:val="28"/>
          <w:szCs w:val="28"/>
        </w:rPr>
      </w:pPr>
      <w:r>
        <w:rPr/>
        <w:drawing>
          <wp:inline distT="0" distB="0" distL="0" distR="0">
            <wp:extent cx="2860040" cy="2159635"/>
            <wp:effectExtent l="0" t="0" r="0" b="0"/>
            <wp:docPr id="9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>
        <w:rPr>
          <w:rFonts w:eastAsia="Calibri"/>
          <w:b/>
          <w:sz w:val="28"/>
          <w:szCs w:val="28"/>
        </w:rPr>
        <w:t>…</w:t>
      </w:r>
      <w:r>
        <w:rPr/>
        <w:drawing>
          <wp:inline distT="0" distB="0" distL="0" distR="0">
            <wp:extent cx="2840355" cy="2159635"/>
            <wp:effectExtent l="0" t="0" r="0" b="0"/>
            <wp:docPr id="10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>
      <w:pPr>
        <w:pStyle w:val="Normal"/>
        <w:widowControl/>
        <w:spacing w:lineRule="auto" w:line="276" w:before="0" w:after="200"/>
        <w:jc w:val="both"/>
        <w:rPr>
          <w:rFonts w:eastAsia="Calibri"/>
          <w:b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b/>
          <w:sz w:val="28"/>
          <w:szCs w:val="28"/>
        </w:rPr>
        <w:t>Вывод</w:t>
      </w:r>
      <w:r>
        <w:rPr>
          <w:rFonts w:eastAsia="Calibri"/>
          <w:sz w:val="28"/>
          <w:szCs w:val="28"/>
        </w:rPr>
        <w:t>: Программный материал в данной области усвоен детьми на 76%. Дети к концу года могут в правильной последовательности выполнять работу, создавать несложные сюжетные композиции изображения по мотивам народных игрушек. Практически все воспитанники могут передавать общие признаки и характерные детали образа, располагать лист в заданном формате и правильно располагать изображение на листе, могут назвать основные виды декоративно - прикладного творчества. У всех воспитанников данной группы достаточно развит навык лепки объемного образа и все дети до конца и аккуратно выполняют плоскую лепку. Дошкольники старшей группы также умеют правильно держать ножницы и правильно вырезать из бумаги, убирать свое рабочее место.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b/>
          <w:iCs/>
          <w:sz w:val="28"/>
          <w:szCs w:val="28"/>
        </w:rPr>
        <w:t>Рекомендации:</w:t>
      </w:r>
      <w:r>
        <w:rPr>
          <w:rFonts w:eastAsia="Calibri"/>
          <w:sz w:val="28"/>
          <w:szCs w:val="28"/>
        </w:rPr>
        <w:t xml:space="preserve"> продолжать совершенствовать технику рисования, лепки, аппликации, развивать творческие способности воспитанников. В течение дня предлагать дидактические игры, альбомы для раскрашивания, проводить упражнения на развитие мелкой моторики и пальчиковую гимнастику. В центре развития творчества предоставить возможность для самостоятельной творческой активности детей. Иметь необходимое оборудование для работы с пластилином, природным материалом, бумагой, красками, следить за их обновлением. Принимать участие в конкурсах и выставках. Продолжать взаимодействие с семьей и организовывать конкурсы совместного детско- родительского творчества.</w:t>
      </w:r>
    </w:p>
    <w:p>
      <w:pPr>
        <w:pStyle w:val="Style13"/>
        <w:spacing w:lineRule="auto" w:line="276"/>
        <w:ind w:left="528" w:hanging="0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660" w:right="680" w:header="0" w:top="112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4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9"/>
    <w:qFormat/>
    <w:pPr>
      <w:spacing w:lineRule="exact" w:line="321"/>
      <w:ind w:left="475" w:hanging="0"/>
      <w:outlineLvl w:val="0"/>
    </w:pPr>
    <w:rPr>
      <w:b/>
      <w:bCs/>
      <w:sz w:val="28"/>
      <w:szCs w:val="28"/>
      <w:u w:val="single" w:color="000000"/>
    </w:rPr>
  </w:style>
  <w:style w:type="paragraph" w:styleId="2">
    <w:name w:val="Heading 2"/>
    <w:basedOn w:val="Normal"/>
    <w:uiPriority w:val="9"/>
    <w:unhideWhenUsed/>
    <w:qFormat/>
    <w:pPr>
      <w:ind w:left="475" w:hanging="0"/>
      <w:outlineLvl w:val="1"/>
    </w:pPr>
    <w:rPr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3">
    <w:name w:val="Body Text"/>
    <w:basedOn w:val="Normal"/>
    <w:uiPriority w:val="1"/>
    <w:qFormat/>
    <w:pPr>
      <w:ind w:left="475" w:hanging="0"/>
    </w:pPr>
    <w:rPr>
      <w:sz w:val="24"/>
      <w:szCs w:val="24"/>
    </w:rPr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>
      <w:ind w:left="475" w:right="145" w:hanging="360"/>
      <w:jc w:val="both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chart" Target="charts/chart1.xml"/><Relationship Id="rId3" Type="http://schemas.openxmlformats.org/officeDocument/2006/relationships/chart" Target="charts/chart2.xml"/><Relationship Id="rId4" Type="http://schemas.openxmlformats.org/officeDocument/2006/relationships/chart" Target="charts/chart3.xml"/><Relationship Id="rId5" Type="http://schemas.openxmlformats.org/officeDocument/2006/relationships/chart" Target="charts/chart4.xml"/><Relationship Id="rId6" Type="http://schemas.openxmlformats.org/officeDocument/2006/relationships/chart" Target="charts/chart5.xml"/><Relationship Id="rId7" Type="http://schemas.openxmlformats.org/officeDocument/2006/relationships/chart" Target="charts/chart6.xml"/><Relationship Id="rId8" Type="http://schemas.openxmlformats.org/officeDocument/2006/relationships/chart" Target="charts/chart7.xml"/><Relationship Id="rId9" Type="http://schemas.openxmlformats.org/officeDocument/2006/relationships/chart" Target="charts/chart8.xml"/><Relationship Id="rId10" Type="http://schemas.openxmlformats.org/officeDocument/2006/relationships/chart" Target="charts/chart9.xml"/><Relationship Id="rId11" Type="http://schemas.openxmlformats.org/officeDocument/2006/relationships/chart" Target="charts/chart10.xm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
</Relationships>
</file>

<file path=word/charts/_rels/chart1.xml.rels><?xml version="1.0" encoding="UTF-8"?>
<Relationships xmlns="http://schemas.openxmlformats.org/package/2006/relationships"><Relationship Id="rId1" Type="http://schemas.openxmlformats.org/officeDocument/2006/relationships/package" Target="../embeddings/Microsoft_Excel_Worksheet.xlsx"/>
</Relationships>
</file>

<file path=word/charts/_rels/chart2.xml.rels><?xml version="1.0" encoding="UTF-8"?>
<Relationships xmlns="http://schemas.openxmlformats.org/package/2006/relationships"><Relationship Id="rId1" Type="http://schemas.openxmlformats.org/officeDocument/2006/relationships/package" Target="../embeddings/Microsoft_Excel_Worksheet1.xlsx"/>
</Relationships>
</file>

<file path=word/charts/_rels/chart3.xml.rels><?xml version="1.0" encoding="UTF-8"?>
<Relationships xmlns="http://schemas.openxmlformats.org/package/2006/relationships"><Relationship Id="rId1" Type="http://schemas.openxmlformats.org/officeDocument/2006/relationships/package" Target="../embeddings/Microsoft_Excel_Worksheet2.xlsx"/>
</Relationships>
</file>

<file path=word/charts/_rels/chart4.xml.rels><?xml version="1.0" encoding="UTF-8"?>
<Relationships xmlns="http://schemas.openxmlformats.org/package/2006/relationships"><Relationship Id="rId1" Type="http://schemas.openxmlformats.org/officeDocument/2006/relationships/package" Target="../embeddings/Microsoft_Excel_Worksheet3.xlsx"/>
</Relationships>
</file>

<file path=word/charts/_rels/chart5.xml.rels><?xml version="1.0" encoding="UTF-8"?>
<Relationships xmlns="http://schemas.openxmlformats.org/package/2006/relationships"><Relationship Id="rId1" Type="http://schemas.openxmlformats.org/officeDocument/2006/relationships/package" Target="../embeddings/Microsoft_Excel_Worksheet4.xlsx"/>
</Relationships>
</file>

<file path=word/charts/_rels/chart6.xml.rels><?xml version="1.0" encoding="UTF-8"?>
<Relationships xmlns="http://schemas.openxmlformats.org/package/2006/relationships"><Relationship Id="rId1" Type="http://schemas.openxmlformats.org/officeDocument/2006/relationships/package" Target="../embeddings/Microsoft_Excel_Worksheet5.xlsx"/>
</Relationships>
</file>

<file path=word/charts/_rels/chart7.xml.rels><?xml version="1.0" encoding="UTF-8"?>
<Relationships xmlns="http://schemas.openxmlformats.org/package/2006/relationships"><Relationship Id="rId1" Type="http://schemas.openxmlformats.org/officeDocument/2006/relationships/package" Target="../embeddings/Microsoft_Excel_Worksheet6.xlsx"/>
</Relationships>
</file>

<file path=word/charts/_rels/chart8.xml.rels><?xml version="1.0" encoding="UTF-8"?>
<Relationships xmlns="http://schemas.openxmlformats.org/package/2006/relationships"><Relationship Id="rId1" Type="http://schemas.openxmlformats.org/officeDocument/2006/relationships/package" Target="../embeddings/Microsoft_Excel_Worksheet7.xlsx"/>
</Relationships>
</file>

<file path=word/charts/_rels/chart9.xml.rels><?xml version="1.0" encoding="UTF-8"?>
<Relationships xmlns="http://schemas.openxmlformats.org/package/2006/relationships"><Relationship Id="rId1" Type="http://schemas.openxmlformats.org/officeDocument/2006/relationships/package" Target="../embeddings/Microsoft_Excel_Worksheet8.xlsx"/>
</Relationships>
</file>

<file path=word/charts/_rels/chart10.xml.rels><?xml version="1.0" encoding="UTF-8"?>
<Relationships xmlns="http://schemas.openxmlformats.org/package/2006/relationships"><Relationship Id="rId1" Type="http://schemas.openxmlformats.org/officeDocument/2006/relationships/package" Target="../embeddings/Microsoft_Excel_Worksheet9.xlsx"/>
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1" sz="1200" spc="-1" strike="noStrike">
                <a:solidFill>
                  <a:srgbClr val="000000"/>
                </a:solidFill>
                <a:latin typeface="Calibri"/>
              </a:defRPr>
            </a:pPr>
            <a:r>
              <a:rPr b="1" sz="1200" spc="-1" strike="noStrike">
                <a:solidFill>
                  <a:srgbClr val="000000"/>
                </a:solidFill>
                <a:latin typeface="Calibri"/>
              </a:rPr>
              <a:t>2021-2022</a:t>
            </a:r>
          </a:p>
        </c:rich>
      </c:tx>
      <c:overlay val="0"/>
      <c:spPr>
        <a:noFill/>
        <a:ln w="0">
          <a:noFill/>
        </a:ln>
      </c:spPr>
    </c:title>
    <c:autoTitleDeleted val="0"/>
    <c:plotArea>
      <c:bar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начало года</c:v>
                </c:pt>
              </c:strCache>
            </c:strRef>
          </c:tx>
          <c:spPr>
            <a:gradFill>
              <a:gsLst>
                <a:gs pos="0">
                  <a:srgbClr val="2e5f99"/>
                </a:gs>
                <a:gs pos="100000">
                  <a:srgbClr val="3c7ac7"/>
                </a:gs>
              </a:gsLst>
              <a:lin ang="16200000"/>
            </a:gradFill>
            <a:ln w="0">
              <a:noFill/>
            </a:ln>
          </c:spPr>
          <c:invertIfNegative val="0"/>
          <c:dLbls>
            <c:numFmt formatCode="0%" sourceLinked="0"/>
            <c:txPr>
              <a:bodyPr wrap="squar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dLblPos val="ctr"/>
            <c:showLegendKey val="0"/>
            <c:showVal val="1"/>
            <c:showCatName val="0"/>
            <c:showSerName val="0"/>
            <c:showPercent val="0"/>
            <c:separator>; </c:separator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categories</c:f>
              <c:strCache>
                <c:ptCount val="1"/>
                <c:pt idx="0">
                  <c:v>1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1"/>
                <c:pt idx="0">
                  <c:v>0.68</c:v>
                </c:pt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конец года</c:v>
                </c:pt>
              </c:strCache>
            </c:strRef>
          </c:tx>
          <c:spPr>
            <a:gradFill>
              <a:gsLst>
                <a:gs pos="0">
                  <a:srgbClr val="9c2f2c"/>
                </a:gs>
                <a:gs pos="100000">
                  <a:srgbClr val="cb3d39"/>
                </a:gs>
              </a:gsLst>
              <a:lin ang="16200000"/>
            </a:gradFill>
            <a:ln w="0">
              <a:noFill/>
            </a:ln>
          </c:spPr>
          <c:invertIfNegative val="0"/>
          <c:dLbls>
            <c:numFmt formatCode="0%" sourceLinked="0"/>
            <c:txPr>
              <a:bodyPr wrap="squar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eparator>; </c:separator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categories</c:f>
              <c:strCache>
                <c:ptCount val="1"/>
                <c:pt idx="0">
                  <c:v>1</c:v>
                </c:pt>
              </c:strCache>
            </c:strRef>
          </c:cat>
          <c:val>
            <c:numRef>
              <c:f>1</c:f>
              <c:numCache>
                <c:formatCode>General</c:formatCode>
                <c:ptCount val="1"/>
                <c:pt idx="0">
                  <c:v>0.81</c:v>
                </c:pt>
              </c:numCache>
            </c:numRef>
          </c:val>
        </c:ser>
        <c:gapWidth val="150"/>
        <c:overlap val="0"/>
        <c:axId val="51456742"/>
        <c:axId val="36315559"/>
      </c:barChart>
      <c:catAx>
        <c:axId val="51456742"/>
        <c:scaling>
          <c:orientation val="minMax"/>
        </c:scaling>
        <c:delete val="0"/>
        <c:axPos val="b"/>
        <c:numFmt formatCode="[$-419]dd/mm/yyyy" sourceLinked="1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36315559"/>
        <c:crosses val="autoZero"/>
        <c:auto val="1"/>
        <c:lblAlgn val="ctr"/>
        <c:lblOffset val="100"/>
        <c:noMultiLvlLbl val="0"/>
      </c:catAx>
      <c:valAx>
        <c:axId val="36315559"/>
        <c:scaling>
          <c:orientation val="minMax"/>
          <c:max val="1"/>
          <c:min val="0"/>
        </c:scaling>
        <c:delete val="0"/>
        <c:axPos val="l"/>
        <c:majorGridlines>
          <c:spPr>
            <a:ln w="9360">
              <a:solidFill>
                <a:srgbClr val="878787"/>
              </a:solidFill>
              <a:round/>
            </a:ln>
          </c:spPr>
        </c:majorGridlines>
        <c:numFmt formatCode="0%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51456742"/>
        <c:crosses val="autoZero"/>
        <c:crossBetween val="between"/>
      </c:valAx>
      <c:spPr>
        <a:noFill/>
        <a:ln w="9360">
          <a:noFill/>
        </a:ln>
      </c:spPr>
    </c:plotArea>
    <c:legend>
      <c:legendPos val="t"/>
      <c:overlay val="0"/>
      <c:spPr>
        <a:noFill/>
        <a:ln w="0">
          <a:noFill/>
        </a:ln>
      </c:spPr>
      <c:txPr>
        <a:bodyPr/>
        <a:lstStyle/>
        <a:p>
          <a:pPr>
            <a:defRPr b="0" sz="1000" spc="-1" strike="noStrike">
              <a:solidFill>
                <a:srgbClr val="000000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1" sz="1200" spc="-1" strike="noStrike">
                <a:solidFill>
                  <a:srgbClr val="000000"/>
                </a:solidFill>
                <a:latin typeface="Calibri"/>
              </a:defRPr>
            </a:pPr>
            <a:r>
              <a:rPr b="1" sz="1200" spc="-1" strike="noStrike">
                <a:solidFill>
                  <a:srgbClr val="000000"/>
                </a:solidFill>
                <a:latin typeface="Calibri"/>
              </a:rPr>
              <a:t>Познавательное развитие</a:t>
            </a:r>
          </a:p>
        </c:rich>
      </c:tx>
      <c:overlay val="0"/>
      <c:spPr>
        <a:noFill/>
        <a:ln w="0">
          <a:noFill/>
        </a:ln>
      </c:spPr>
    </c:title>
    <c:autoTitleDeleted val="0"/>
    <c:plotArea>
      <c:doughnutChart>
        <c:varyColors val="1"/>
        <c:ser>
          <c:idx val="0"/>
          <c:order val="0"/>
          <c:tx>
            <c:strRef>
              <c:f>label 0</c:f>
              <c:strCache>
                <c:ptCount val="1"/>
                <c:pt idx="0">
                  <c:v>Серия1</c:v>
                </c:pt>
              </c:strCache>
            </c:strRef>
          </c:tx>
          <c:spPr>
            <a:solidFill>
              <a:srgbClr val="4f81bd"/>
            </a:solidFill>
            <a:ln w="0">
              <a:noFill/>
            </a:ln>
          </c:spPr>
          <c:explosion val="0"/>
          <c:dPt>
            <c:idx val="0"/>
            <c:spPr>
              <a:solidFill>
                <a:srgbClr val="4f81bd"/>
              </a:solidFill>
              <a:ln w="0">
                <a:noFill/>
              </a:ln>
            </c:spPr>
          </c:dPt>
          <c:dPt>
            <c:idx val="1"/>
            <c:spPr>
              <a:solidFill>
                <a:srgbClr val="c0504d"/>
              </a:solidFill>
              <a:ln w="0">
                <a:noFill/>
              </a:ln>
            </c:spPr>
          </c:dPt>
          <c:dPt>
            <c:idx val="2"/>
            <c:spPr>
              <a:solidFill>
                <a:srgbClr val="9bbb59"/>
              </a:solidFill>
              <a:ln w="0">
                <a:noFill/>
              </a:ln>
            </c:spPr>
          </c:dPt>
          <c:dLbls>
            <c:dLbl>
              <c:idx val="0"/>
              <c:txPr>
                <a:bodyPr wrap="squar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1"/>
              <c:separator>
</c:separator>
            </c:dLbl>
            <c:dLbl>
              <c:idx val="1"/>
              <c:txPr>
                <a:bodyPr wrap="squar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1"/>
              <c:separator>
</c:separator>
            </c:dLbl>
            <c:dLbl>
              <c:idx val="2"/>
              <c:txPr>
                <a:bodyPr wrap="squar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1"/>
              <c:separator>
</c:separator>
            </c:dLbl>
            <c:txPr>
              <a:bodyPr wrap="squar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1"/>
            <c:separator>
</c:separator>
            <c:showLeaderLines val="0"/>
          </c:dLbls>
          <c:cat>
            <c:strRef>
              <c:f>categories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3"/>
                <c:pt idx="0">
                  <c:v>0.02</c:v>
                </c:pt>
                <c:pt idx="1">
                  <c:v>0.79</c:v>
                </c:pt>
                <c:pt idx="2">
                  <c:v>0.19</c:v>
                </c:pt>
              </c:numCache>
            </c:numRef>
          </c:val>
        </c:ser>
        <c:firstSliceAng val="0"/>
        <c:holeSize val="50"/>
      </c:doughnutChart>
      <c:spPr>
        <a:noFill/>
        <a:ln w="9360">
          <a:noFill/>
        </a:ln>
      </c:spPr>
    </c:plotArea>
    <c:legend>
      <c:legendPos val="t"/>
      <c:overlay val="0"/>
      <c:spPr>
        <a:noFill/>
        <a:ln w="0">
          <a:noFill/>
        </a:ln>
      </c:spPr>
      <c:txPr>
        <a:bodyPr/>
        <a:lstStyle/>
        <a:p>
          <a:pPr>
            <a:defRPr b="0" sz="1000" spc="-1" strike="noStrike">
              <a:solidFill>
                <a:srgbClr val="000000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1" sz="1200" spc="-1" strike="noStrike">
                <a:solidFill>
                  <a:srgbClr val="000000"/>
                </a:solidFill>
                <a:latin typeface="Calibri"/>
              </a:defRPr>
            </a:pPr>
            <a:r>
              <a:rPr b="1" sz="1200" spc="-1" strike="noStrike">
                <a:solidFill>
                  <a:srgbClr val="000000"/>
                </a:solidFill>
                <a:latin typeface="Calibri"/>
              </a:rPr>
              <a:t>2021-2022</a:t>
            </a:r>
          </a:p>
        </c:rich>
      </c:tx>
      <c:overlay val="0"/>
      <c:spPr>
        <a:noFill/>
        <a:ln w="0">
          <a:noFill/>
        </a:ln>
      </c:spPr>
    </c:title>
    <c:autoTitleDeleted val="0"/>
    <c:plotArea>
      <c:bar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начало года</c:v>
                </c:pt>
              </c:strCache>
            </c:strRef>
          </c:tx>
          <c:spPr>
            <a:gradFill>
              <a:gsLst>
                <a:gs pos="0">
                  <a:srgbClr val="2e5f99"/>
                </a:gs>
                <a:gs pos="100000">
                  <a:srgbClr val="3c7ac7"/>
                </a:gs>
              </a:gsLst>
              <a:lin ang="16200000"/>
            </a:gradFill>
            <a:ln w="0">
              <a:noFill/>
            </a:ln>
          </c:spPr>
          <c:invertIfNegative val="0"/>
          <c:dLbls>
            <c:numFmt formatCode="0%" sourceLinked="0"/>
            <c:txPr>
              <a:bodyPr wrap="squar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dLblPos val="ctr"/>
            <c:showLegendKey val="0"/>
            <c:showVal val="1"/>
            <c:showCatName val="0"/>
            <c:showSerName val="0"/>
            <c:showPercent val="0"/>
            <c:separator>; </c:separator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categories</c:f>
              <c:strCache>
                <c:ptCount val="1"/>
                <c:pt idx="0">
                  <c:v>1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1"/>
                <c:pt idx="0">
                  <c:v>0.54</c:v>
                </c:pt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конец года</c:v>
                </c:pt>
              </c:strCache>
            </c:strRef>
          </c:tx>
          <c:spPr>
            <a:gradFill>
              <a:gsLst>
                <a:gs pos="0">
                  <a:srgbClr val="9c2f2c"/>
                </a:gs>
                <a:gs pos="100000">
                  <a:srgbClr val="cb3d39"/>
                </a:gs>
              </a:gsLst>
              <a:lin ang="16200000"/>
            </a:gradFill>
            <a:ln w="0">
              <a:noFill/>
            </a:ln>
          </c:spPr>
          <c:invertIfNegative val="0"/>
          <c:dLbls>
            <c:numFmt formatCode="0%" sourceLinked="0"/>
            <c:txPr>
              <a:bodyPr wrap="squar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eparator>; </c:separator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categories</c:f>
              <c:strCache>
                <c:ptCount val="1"/>
                <c:pt idx="0">
                  <c:v>1</c:v>
                </c:pt>
              </c:strCache>
            </c:strRef>
          </c:cat>
          <c:val>
            <c:numRef>
              <c:f>1</c:f>
              <c:numCache>
                <c:formatCode>General</c:formatCode>
                <c:ptCount val="1"/>
                <c:pt idx="0">
                  <c:v>0.7</c:v>
                </c:pt>
              </c:numCache>
            </c:numRef>
          </c:val>
        </c:ser>
        <c:gapWidth val="150"/>
        <c:overlap val="0"/>
        <c:axId val="75953936"/>
        <c:axId val="90625604"/>
      </c:barChart>
      <c:catAx>
        <c:axId val="75953936"/>
        <c:scaling>
          <c:orientation val="minMax"/>
        </c:scaling>
        <c:delete val="0"/>
        <c:axPos val="b"/>
        <c:numFmt formatCode="[$-419]dd/mm/yyyy" sourceLinked="1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90625604"/>
        <c:crosses val="autoZero"/>
        <c:auto val="1"/>
        <c:lblAlgn val="ctr"/>
        <c:lblOffset val="100"/>
        <c:noMultiLvlLbl val="0"/>
      </c:catAx>
      <c:valAx>
        <c:axId val="90625604"/>
        <c:scaling>
          <c:orientation val="minMax"/>
          <c:max val="1"/>
          <c:min val="0"/>
        </c:scaling>
        <c:delete val="0"/>
        <c:axPos val="l"/>
        <c:majorGridlines>
          <c:spPr>
            <a:ln w="9360">
              <a:solidFill>
                <a:srgbClr val="878787"/>
              </a:solidFill>
              <a:round/>
            </a:ln>
          </c:spPr>
        </c:majorGridlines>
        <c:numFmt formatCode="0%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75953936"/>
        <c:crosses val="autoZero"/>
        <c:crossBetween val="between"/>
      </c:valAx>
      <c:spPr>
        <a:noFill/>
        <a:ln w="9360">
          <a:noFill/>
        </a:ln>
      </c:spPr>
    </c:plotArea>
    <c:legend>
      <c:legendPos val="t"/>
      <c:overlay val="0"/>
      <c:spPr>
        <a:noFill/>
        <a:ln w="0">
          <a:noFill/>
        </a:ln>
      </c:spPr>
      <c:txPr>
        <a:bodyPr/>
        <a:lstStyle/>
        <a:p>
          <a:pPr>
            <a:defRPr b="0" sz="1000" spc="-1" strike="noStrike">
              <a:solidFill>
                <a:srgbClr val="000000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1" sz="1200" spc="-1" strike="noStrike">
                <a:solidFill>
                  <a:srgbClr val="000000"/>
                </a:solidFill>
                <a:latin typeface="Calibri"/>
              </a:defRPr>
            </a:pPr>
            <a:r>
              <a:rPr b="1" sz="1200" spc="-1" strike="noStrike">
                <a:solidFill>
                  <a:srgbClr val="000000"/>
                </a:solidFill>
                <a:latin typeface="Calibri"/>
              </a:rPr>
              <a:t>Речевое развитие</a:t>
            </a:r>
          </a:p>
        </c:rich>
      </c:tx>
      <c:overlay val="0"/>
      <c:spPr>
        <a:noFill/>
        <a:ln w="0">
          <a:noFill/>
        </a:ln>
      </c:spPr>
    </c:title>
    <c:autoTitleDeleted val="0"/>
    <c:plotArea>
      <c:doughnutChart>
        <c:varyColors val="1"/>
        <c:ser>
          <c:idx val="0"/>
          <c:order val="0"/>
          <c:tx>
            <c:strRef>
              <c:f>label 0</c:f>
              <c:strCache>
                <c:ptCount val="1"/>
                <c:pt idx="0">
                  <c:v>Серия1</c:v>
                </c:pt>
              </c:strCache>
            </c:strRef>
          </c:tx>
          <c:spPr>
            <a:solidFill>
              <a:srgbClr val="4f81bd"/>
            </a:solidFill>
            <a:ln w="0">
              <a:noFill/>
            </a:ln>
          </c:spPr>
          <c:explosion val="0"/>
          <c:dPt>
            <c:idx val="0"/>
            <c:spPr>
              <a:solidFill>
                <a:srgbClr val="4f81bd"/>
              </a:solidFill>
              <a:ln w="0">
                <a:noFill/>
              </a:ln>
            </c:spPr>
          </c:dPt>
          <c:dPt>
            <c:idx val="1"/>
            <c:spPr>
              <a:solidFill>
                <a:srgbClr val="c0504d"/>
              </a:solidFill>
              <a:ln w="0">
                <a:noFill/>
              </a:ln>
            </c:spPr>
          </c:dPt>
          <c:dPt>
            <c:idx val="2"/>
            <c:spPr>
              <a:solidFill>
                <a:srgbClr val="9bbb59"/>
              </a:solidFill>
              <a:ln w="0">
                <a:noFill/>
              </a:ln>
            </c:spPr>
          </c:dPt>
          <c:dLbls>
            <c:dLbl>
              <c:idx val="0"/>
              <c:txPr>
                <a:bodyPr wrap="squar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1"/>
              <c:separator>
</c:separator>
            </c:dLbl>
            <c:dLbl>
              <c:idx val="1"/>
              <c:txPr>
                <a:bodyPr wrap="squar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1"/>
              <c:separator>
</c:separator>
            </c:dLbl>
            <c:dLbl>
              <c:idx val="2"/>
              <c:txPr>
                <a:bodyPr wrap="squar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1"/>
              <c:separator>
</c:separator>
            </c:dLbl>
            <c:txPr>
              <a:bodyPr wrap="squar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1"/>
            <c:separator>
</c:separator>
            <c:showLeaderLines val="0"/>
          </c:dLbls>
          <c:cat>
            <c:strRef>
              <c:f>categories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3"/>
                <c:pt idx="0">
                  <c:v>0</c:v>
                </c:pt>
                <c:pt idx="1">
                  <c:v>0.7</c:v>
                </c:pt>
                <c:pt idx="2">
                  <c:v>0.3</c:v>
                </c:pt>
              </c:numCache>
            </c:numRef>
          </c:val>
        </c:ser>
        <c:firstSliceAng val="0"/>
        <c:holeSize val="50"/>
      </c:doughnutChart>
      <c:spPr>
        <a:noFill/>
        <a:ln w="9360">
          <a:noFill/>
        </a:ln>
      </c:spPr>
    </c:plotArea>
    <c:legend>
      <c:legendPos val="t"/>
      <c:overlay val="0"/>
      <c:spPr>
        <a:noFill/>
        <a:ln w="0">
          <a:noFill/>
        </a:ln>
      </c:spPr>
      <c:txPr>
        <a:bodyPr/>
        <a:lstStyle/>
        <a:p>
          <a:pPr>
            <a:defRPr b="0" sz="1000" spc="-1" strike="noStrike">
              <a:solidFill>
                <a:srgbClr val="000000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1" sz="1200" spc="-1" strike="noStrike">
                <a:solidFill>
                  <a:srgbClr val="000000"/>
                </a:solidFill>
                <a:latin typeface="Calibri"/>
              </a:defRPr>
            </a:pPr>
            <a:r>
              <a:rPr b="1" sz="1200" spc="-1" strike="noStrike">
                <a:solidFill>
                  <a:srgbClr val="000000"/>
                </a:solidFill>
                <a:latin typeface="Calibri"/>
              </a:rPr>
              <a:t>2021-2022</a:t>
            </a:r>
          </a:p>
        </c:rich>
      </c:tx>
      <c:overlay val="0"/>
      <c:spPr>
        <a:noFill/>
        <a:ln w="0">
          <a:noFill/>
        </a:ln>
      </c:spPr>
    </c:title>
    <c:autoTitleDeleted val="0"/>
    <c:plotArea>
      <c:bar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начало года</c:v>
                </c:pt>
              </c:strCache>
            </c:strRef>
          </c:tx>
          <c:spPr>
            <a:gradFill>
              <a:gsLst>
                <a:gs pos="0">
                  <a:srgbClr val="2e5f99"/>
                </a:gs>
                <a:gs pos="100000">
                  <a:srgbClr val="3c7ac7"/>
                </a:gs>
              </a:gsLst>
              <a:lin ang="16200000"/>
            </a:gradFill>
            <a:ln w="0">
              <a:noFill/>
            </a:ln>
          </c:spPr>
          <c:invertIfNegative val="0"/>
          <c:dLbls>
            <c:numFmt formatCode="0%" sourceLinked="0"/>
            <c:txPr>
              <a:bodyPr wrap="squar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dLblPos val="ctr"/>
            <c:showLegendKey val="0"/>
            <c:showVal val="1"/>
            <c:showCatName val="0"/>
            <c:showSerName val="0"/>
            <c:showPercent val="0"/>
            <c:separator>; </c:separator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categories</c:f>
              <c:strCache>
                <c:ptCount val="1"/>
                <c:pt idx="0">
                  <c:v>1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1"/>
                <c:pt idx="0">
                  <c:v>0.7</c:v>
                </c:pt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конец года</c:v>
                </c:pt>
              </c:strCache>
            </c:strRef>
          </c:tx>
          <c:spPr>
            <a:gradFill>
              <a:gsLst>
                <a:gs pos="0">
                  <a:srgbClr val="9c2f2c"/>
                </a:gs>
                <a:gs pos="100000">
                  <a:srgbClr val="cb3d39"/>
                </a:gs>
              </a:gsLst>
              <a:lin ang="16200000"/>
            </a:gradFill>
            <a:ln w="0">
              <a:noFill/>
            </a:ln>
          </c:spPr>
          <c:invertIfNegative val="0"/>
          <c:dLbls>
            <c:numFmt formatCode="0%" sourceLinked="0"/>
            <c:txPr>
              <a:bodyPr wrap="squar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eparator>; </c:separator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categories</c:f>
              <c:strCache>
                <c:ptCount val="1"/>
                <c:pt idx="0">
                  <c:v>1</c:v>
                </c:pt>
              </c:strCache>
            </c:strRef>
          </c:cat>
          <c:val>
            <c:numRef>
              <c:f>1</c:f>
              <c:numCache>
                <c:formatCode>General</c:formatCode>
                <c:ptCount val="1"/>
                <c:pt idx="0">
                  <c:v>0.86</c:v>
                </c:pt>
              </c:numCache>
            </c:numRef>
          </c:val>
        </c:ser>
        <c:gapWidth val="150"/>
        <c:overlap val="0"/>
        <c:axId val="40546128"/>
        <c:axId val="32817481"/>
      </c:barChart>
      <c:catAx>
        <c:axId val="40546128"/>
        <c:scaling>
          <c:orientation val="minMax"/>
        </c:scaling>
        <c:delete val="0"/>
        <c:axPos val="b"/>
        <c:numFmt formatCode="[$-419]dd/mm/yyyy" sourceLinked="1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32817481"/>
        <c:crosses val="autoZero"/>
        <c:auto val="1"/>
        <c:lblAlgn val="ctr"/>
        <c:lblOffset val="100"/>
        <c:noMultiLvlLbl val="0"/>
      </c:catAx>
      <c:valAx>
        <c:axId val="32817481"/>
        <c:scaling>
          <c:orientation val="minMax"/>
          <c:max val="1"/>
          <c:min val="0"/>
        </c:scaling>
        <c:delete val="0"/>
        <c:axPos val="l"/>
        <c:majorGridlines>
          <c:spPr>
            <a:ln w="9360">
              <a:solidFill>
                <a:srgbClr val="878787"/>
              </a:solidFill>
              <a:round/>
            </a:ln>
          </c:spPr>
        </c:majorGridlines>
        <c:numFmt formatCode="0%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40546128"/>
        <c:crosses val="autoZero"/>
        <c:crossBetween val="between"/>
      </c:valAx>
      <c:spPr>
        <a:noFill/>
        <a:ln w="9360">
          <a:noFill/>
        </a:ln>
      </c:spPr>
    </c:plotArea>
    <c:legend>
      <c:legendPos val="t"/>
      <c:overlay val="0"/>
      <c:spPr>
        <a:noFill/>
        <a:ln w="0">
          <a:noFill/>
        </a:ln>
      </c:spPr>
      <c:txPr>
        <a:bodyPr/>
        <a:lstStyle/>
        <a:p>
          <a:pPr>
            <a:defRPr b="0" sz="1000" spc="-1" strike="noStrike">
              <a:solidFill>
                <a:srgbClr val="000000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1" sz="1200" spc="-1" strike="noStrike">
                <a:solidFill>
                  <a:srgbClr val="000000"/>
                </a:solidFill>
                <a:latin typeface="Calibri"/>
              </a:defRPr>
            </a:pPr>
            <a:r>
              <a:rPr b="1" sz="1200" spc="-1" strike="noStrike">
                <a:solidFill>
                  <a:srgbClr val="000000"/>
                </a:solidFill>
                <a:latin typeface="Calibri"/>
              </a:rPr>
              <a:t>Социально-коммуникативное развитие</a:t>
            </a:r>
          </a:p>
        </c:rich>
      </c:tx>
      <c:overlay val="0"/>
      <c:spPr>
        <a:noFill/>
        <a:ln w="0">
          <a:noFill/>
        </a:ln>
      </c:spPr>
    </c:title>
    <c:autoTitleDeleted val="0"/>
    <c:plotArea>
      <c:doughnutChart>
        <c:varyColors val="1"/>
        <c:ser>
          <c:idx val="0"/>
          <c:order val="0"/>
          <c:tx>
            <c:strRef>
              <c:f>label 0</c:f>
              <c:strCache>
                <c:ptCount val="1"/>
                <c:pt idx="0">
                  <c:v>Серия1</c:v>
                </c:pt>
              </c:strCache>
            </c:strRef>
          </c:tx>
          <c:spPr>
            <a:solidFill>
              <a:srgbClr val="4f81bd"/>
            </a:solidFill>
            <a:ln w="0">
              <a:noFill/>
            </a:ln>
          </c:spPr>
          <c:explosion val="0"/>
          <c:dPt>
            <c:idx val="0"/>
            <c:spPr>
              <a:solidFill>
                <a:srgbClr val="4f81bd"/>
              </a:solidFill>
              <a:ln w="0">
                <a:noFill/>
              </a:ln>
            </c:spPr>
          </c:dPt>
          <c:dPt>
            <c:idx val="1"/>
            <c:spPr>
              <a:solidFill>
                <a:srgbClr val="c0504d"/>
              </a:solidFill>
              <a:ln w="0">
                <a:noFill/>
              </a:ln>
            </c:spPr>
          </c:dPt>
          <c:dPt>
            <c:idx val="2"/>
            <c:spPr>
              <a:solidFill>
                <a:srgbClr val="9bbb59"/>
              </a:solidFill>
              <a:ln w="0">
                <a:noFill/>
              </a:ln>
            </c:spPr>
          </c:dPt>
          <c:dLbls>
            <c:dLbl>
              <c:idx val="0"/>
              <c:txPr>
                <a:bodyPr wrap="squar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1"/>
              <c:separator>
</c:separator>
            </c:dLbl>
            <c:dLbl>
              <c:idx val="1"/>
              <c:txPr>
                <a:bodyPr wrap="squar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1"/>
              <c:separator>
</c:separator>
            </c:dLbl>
            <c:dLbl>
              <c:idx val="2"/>
              <c:txPr>
                <a:bodyPr wrap="squar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1"/>
              <c:separator>
</c:separator>
            </c:dLbl>
            <c:txPr>
              <a:bodyPr wrap="squar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1"/>
            <c:separator>
</c:separator>
            <c:showLeaderLines val="0"/>
          </c:dLbls>
          <c:cat>
            <c:strRef>
              <c:f>categories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3"/>
                <c:pt idx="0">
                  <c:v>0.12</c:v>
                </c:pt>
                <c:pt idx="1">
                  <c:v>0.74</c:v>
                </c:pt>
                <c:pt idx="2">
                  <c:v>0.14</c:v>
                </c:pt>
              </c:numCache>
            </c:numRef>
          </c:val>
        </c:ser>
        <c:firstSliceAng val="0"/>
        <c:holeSize val="50"/>
      </c:doughnutChart>
      <c:spPr>
        <a:noFill/>
        <a:ln w="9360">
          <a:noFill/>
        </a:ln>
      </c:spPr>
    </c:plotArea>
    <c:legend>
      <c:legendPos val="t"/>
      <c:overlay val="0"/>
      <c:spPr>
        <a:noFill/>
        <a:ln w="0">
          <a:noFill/>
        </a:ln>
      </c:spPr>
      <c:txPr>
        <a:bodyPr/>
        <a:lstStyle/>
        <a:p>
          <a:pPr>
            <a:defRPr b="0" sz="1000" spc="-1" strike="noStrike">
              <a:solidFill>
                <a:srgbClr val="000000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1" sz="1200" spc="-1" strike="noStrike">
                <a:solidFill>
                  <a:srgbClr val="000000"/>
                </a:solidFill>
                <a:latin typeface="Calibri"/>
              </a:defRPr>
            </a:pPr>
            <a:r>
              <a:rPr b="1" sz="1200" spc="-1" strike="noStrike">
                <a:solidFill>
                  <a:srgbClr val="000000"/>
                </a:solidFill>
                <a:latin typeface="Calibri"/>
              </a:rPr>
              <a:t>2021-2022</a:t>
            </a:r>
          </a:p>
        </c:rich>
      </c:tx>
      <c:overlay val="0"/>
      <c:spPr>
        <a:noFill/>
        <a:ln w="0">
          <a:noFill/>
        </a:ln>
      </c:spPr>
    </c:title>
    <c:autoTitleDeleted val="0"/>
    <c:plotArea>
      <c:bar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начало года</c:v>
                </c:pt>
              </c:strCache>
            </c:strRef>
          </c:tx>
          <c:spPr>
            <a:gradFill>
              <a:gsLst>
                <a:gs pos="0">
                  <a:srgbClr val="2e5f99"/>
                </a:gs>
                <a:gs pos="100000">
                  <a:srgbClr val="3c7ac7"/>
                </a:gs>
              </a:gsLst>
              <a:lin ang="16200000"/>
            </a:gradFill>
            <a:ln w="0">
              <a:noFill/>
            </a:ln>
          </c:spPr>
          <c:invertIfNegative val="0"/>
          <c:dLbls>
            <c:numFmt formatCode="0%" sourceLinked="0"/>
            <c:txPr>
              <a:bodyPr wrap="squar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dLblPos val="ctr"/>
            <c:showLegendKey val="0"/>
            <c:showVal val="1"/>
            <c:showCatName val="0"/>
            <c:showSerName val="0"/>
            <c:showPercent val="0"/>
            <c:separator>; </c:separator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categories</c:f>
              <c:strCache>
                <c:ptCount val="1"/>
                <c:pt idx="0">
                  <c:v>1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1"/>
                <c:pt idx="0">
                  <c:v>0.64</c:v>
                </c:pt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конец года</c:v>
                </c:pt>
              </c:strCache>
            </c:strRef>
          </c:tx>
          <c:spPr>
            <a:gradFill>
              <a:gsLst>
                <a:gs pos="0">
                  <a:srgbClr val="9c2f2c"/>
                </a:gs>
                <a:gs pos="100000">
                  <a:srgbClr val="cb3d39"/>
                </a:gs>
              </a:gsLst>
              <a:lin ang="16200000"/>
            </a:gradFill>
            <a:ln w="0">
              <a:noFill/>
            </a:ln>
          </c:spPr>
          <c:invertIfNegative val="0"/>
          <c:dLbls>
            <c:numFmt formatCode="0%" sourceLinked="0"/>
            <c:txPr>
              <a:bodyPr wrap="squar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eparator>; </c:separator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categories</c:f>
              <c:strCache>
                <c:ptCount val="1"/>
                <c:pt idx="0">
                  <c:v>1</c:v>
                </c:pt>
              </c:strCache>
            </c:strRef>
          </c:cat>
          <c:val>
            <c:numRef>
              <c:f>1</c:f>
              <c:numCache>
                <c:formatCode>General</c:formatCode>
                <c:ptCount val="1"/>
                <c:pt idx="0">
                  <c:v>0.8</c:v>
                </c:pt>
              </c:numCache>
            </c:numRef>
          </c:val>
        </c:ser>
        <c:gapWidth val="150"/>
        <c:overlap val="0"/>
        <c:axId val="17686593"/>
        <c:axId val="53131369"/>
      </c:barChart>
      <c:catAx>
        <c:axId val="17686593"/>
        <c:scaling>
          <c:orientation val="minMax"/>
        </c:scaling>
        <c:delete val="0"/>
        <c:axPos val="b"/>
        <c:numFmt formatCode="[$-419]dd/mm/yyyy" sourceLinked="1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53131369"/>
        <c:crosses val="autoZero"/>
        <c:auto val="1"/>
        <c:lblAlgn val="ctr"/>
        <c:lblOffset val="100"/>
        <c:noMultiLvlLbl val="0"/>
      </c:catAx>
      <c:valAx>
        <c:axId val="53131369"/>
        <c:scaling>
          <c:orientation val="minMax"/>
          <c:max val="1"/>
          <c:min val="0"/>
        </c:scaling>
        <c:delete val="0"/>
        <c:axPos val="l"/>
        <c:majorGridlines>
          <c:spPr>
            <a:ln w="9360">
              <a:solidFill>
                <a:srgbClr val="878787"/>
              </a:solidFill>
              <a:round/>
            </a:ln>
          </c:spPr>
        </c:majorGridlines>
        <c:numFmt formatCode="0%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17686593"/>
        <c:crosses val="autoZero"/>
        <c:crossBetween val="between"/>
      </c:valAx>
      <c:spPr>
        <a:noFill/>
        <a:ln w="9360">
          <a:noFill/>
        </a:ln>
      </c:spPr>
    </c:plotArea>
    <c:legend>
      <c:legendPos val="t"/>
      <c:overlay val="0"/>
      <c:spPr>
        <a:noFill/>
        <a:ln w="0">
          <a:noFill/>
        </a:ln>
      </c:spPr>
      <c:txPr>
        <a:bodyPr/>
        <a:lstStyle/>
        <a:p>
          <a:pPr>
            <a:defRPr b="0" sz="1000" spc="-1" strike="noStrike">
              <a:solidFill>
                <a:srgbClr val="000000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1" sz="1200" spc="-1" strike="noStrike">
                <a:solidFill>
                  <a:srgbClr val="000000"/>
                </a:solidFill>
                <a:latin typeface="Calibri"/>
              </a:defRPr>
            </a:pPr>
            <a:r>
              <a:rPr b="1" sz="1200" spc="-1" strike="noStrike">
                <a:solidFill>
                  <a:srgbClr val="000000"/>
                </a:solidFill>
                <a:latin typeface="Calibri"/>
              </a:rPr>
              <a:t>Физическое развитие</a:t>
            </a:r>
          </a:p>
        </c:rich>
      </c:tx>
      <c:overlay val="0"/>
      <c:spPr>
        <a:noFill/>
        <a:ln w="0">
          <a:noFill/>
        </a:ln>
      </c:spPr>
    </c:title>
    <c:autoTitleDeleted val="0"/>
    <c:plotArea>
      <c:doughnutChart>
        <c:varyColors val="1"/>
        <c:ser>
          <c:idx val="0"/>
          <c:order val="0"/>
          <c:tx>
            <c:strRef>
              <c:f>label 0</c:f>
              <c:strCache>
                <c:ptCount val="1"/>
                <c:pt idx="0">
                  <c:v>Серия1</c:v>
                </c:pt>
              </c:strCache>
            </c:strRef>
          </c:tx>
          <c:spPr>
            <a:solidFill>
              <a:srgbClr val="4f81bd"/>
            </a:solidFill>
            <a:ln w="0">
              <a:noFill/>
            </a:ln>
          </c:spPr>
          <c:explosion val="0"/>
          <c:dPt>
            <c:idx val="0"/>
            <c:spPr>
              <a:solidFill>
                <a:srgbClr val="4f81bd"/>
              </a:solidFill>
              <a:ln w="0">
                <a:noFill/>
              </a:ln>
            </c:spPr>
          </c:dPt>
          <c:dPt>
            <c:idx val="1"/>
            <c:spPr>
              <a:solidFill>
                <a:srgbClr val="c0504d"/>
              </a:solidFill>
              <a:ln w="0">
                <a:noFill/>
              </a:ln>
            </c:spPr>
          </c:dPt>
          <c:dPt>
            <c:idx val="2"/>
            <c:spPr>
              <a:solidFill>
                <a:srgbClr val="9bbb59"/>
              </a:solidFill>
              <a:ln w="0">
                <a:noFill/>
              </a:ln>
            </c:spPr>
          </c:dPt>
          <c:dLbls>
            <c:dLbl>
              <c:idx val="0"/>
              <c:txPr>
                <a:bodyPr wrap="squar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1"/>
              <c:separator>
</c:separator>
            </c:dLbl>
            <c:dLbl>
              <c:idx val="1"/>
              <c:txPr>
                <a:bodyPr wrap="squar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1"/>
              <c:separator>
</c:separator>
            </c:dLbl>
            <c:dLbl>
              <c:idx val="2"/>
              <c:txPr>
                <a:bodyPr wrap="squar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1"/>
              <c:separator>
</c:separator>
            </c:dLbl>
            <c:txPr>
              <a:bodyPr wrap="squar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1"/>
            <c:separator>
</c:separator>
            <c:showLeaderLines val="0"/>
          </c:dLbls>
          <c:cat>
            <c:strRef>
              <c:f>categories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3"/>
                <c:pt idx="0">
                  <c:v>0.12</c:v>
                </c:pt>
                <c:pt idx="1">
                  <c:v>0.68</c:v>
                </c:pt>
                <c:pt idx="2">
                  <c:v>0.2</c:v>
                </c:pt>
              </c:numCache>
            </c:numRef>
          </c:val>
        </c:ser>
        <c:firstSliceAng val="0"/>
        <c:holeSize val="50"/>
      </c:doughnutChart>
      <c:spPr>
        <a:noFill/>
        <a:ln w="9360">
          <a:noFill/>
        </a:ln>
      </c:spPr>
    </c:plotArea>
    <c:legend>
      <c:legendPos val="t"/>
      <c:overlay val="0"/>
      <c:spPr>
        <a:noFill/>
        <a:ln w="0">
          <a:noFill/>
        </a:ln>
      </c:spPr>
      <c:txPr>
        <a:bodyPr/>
        <a:lstStyle/>
        <a:p>
          <a:pPr>
            <a:defRPr b="0" sz="1000" spc="-1" strike="noStrike">
              <a:solidFill>
                <a:srgbClr val="000000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1" sz="1200" spc="-1" strike="noStrike">
                <a:solidFill>
                  <a:srgbClr val="000000"/>
                </a:solidFill>
                <a:latin typeface="Calibri"/>
              </a:defRPr>
            </a:pPr>
            <a:r>
              <a:rPr b="1" sz="1200" spc="-1" strike="noStrike">
                <a:solidFill>
                  <a:srgbClr val="000000"/>
                </a:solidFill>
                <a:latin typeface="Calibri"/>
              </a:rPr>
              <a:t>2021-2022</a:t>
            </a:r>
          </a:p>
        </c:rich>
      </c:tx>
      <c:overlay val="0"/>
      <c:spPr>
        <a:noFill/>
        <a:ln w="0">
          <a:noFill/>
        </a:ln>
      </c:spPr>
    </c:title>
    <c:autoTitleDeleted val="0"/>
    <c:plotArea>
      <c:bar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начало года</c:v>
                </c:pt>
              </c:strCache>
            </c:strRef>
          </c:tx>
          <c:spPr>
            <a:gradFill>
              <a:gsLst>
                <a:gs pos="0">
                  <a:srgbClr val="2e5f99"/>
                </a:gs>
                <a:gs pos="100000">
                  <a:srgbClr val="3c7ac7"/>
                </a:gs>
              </a:gsLst>
              <a:lin ang="16200000"/>
            </a:gradFill>
            <a:ln w="0">
              <a:noFill/>
            </a:ln>
          </c:spPr>
          <c:invertIfNegative val="0"/>
          <c:dLbls>
            <c:numFmt formatCode="0%" sourceLinked="0"/>
            <c:txPr>
              <a:bodyPr wrap="squar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dLblPos val="ctr"/>
            <c:showLegendKey val="0"/>
            <c:showVal val="1"/>
            <c:showCatName val="0"/>
            <c:showSerName val="0"/>
            <c:showPercent val="0"/>
            <c:separator>; </c:separator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categories</c:f>
              <c:strCache>
                <c:ptCount val="1"/>
                <c:pt idx="0">
                  <c:v>1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1"/>
                <c:pt idx="0">
                  <c:v>0.54</c:v>
                </c:pt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конец года</c:v>
                </c:pt>
              </c:strCache>
            </c:strRef>
          </c:tx>
          <c:spPr>
            <a:gradFill>
              <a:gsLst>
                <a:gs pos="0">
                  <a:srgbClr val="9c2f2c"/>
                </a:gs>
                <a:gs pos="100000">
                  <a:srgbClr val="cb3d39"/>
                </a:gs>
              </a:gsLst>
              <a:lin ang="16200000"/>
            </a:gradFill>
            <a:ln w="0">
              <a:noFill/>
            </a:ln>
          </c:spPr>
          <c:invertIfNegative val="0"/>
          <c:dLbls>
            <c:numFmt formatCode="0%" sourceLinked="0"/>
            <c:txPr>
              <a:bodyPr wrap="squar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eparator>; </c:separator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categories</c:f>
              <c:strCache>
                <c:ptCount val="1"/>
                <c:pt idx="0">
                  <c:v>1</c:v>
                </c:pt>
              </c:strCache>
            </c:strRef>
          </c:cat>
          <c:val>
            <c:numRef>
              <c:f>1</c:f>
              <c:numCache>
                <c:formatCode>General</c:formatCode>
                <c:ptCount val="1"/>
                <c:pt idx="0">
                  <c:v>0.76</c:v>
                </c:pt>
              </c:numCache>
            </c:numRef>
          </c:val>
        </c:ser>
        <c:gapWidth val="150"/>
        <c:overlap val="0"/>
        <c:axId val="26382143"/>
        <c:axId val="70217427"/>
      </c:barChart>
      <c:catAx>
        <c:axId val="26382143"/>
        <c:scaling>
          <c:orientation val="minMax"/>
        </c:scaling>
        <c:delete val="0"/>
        <c:axPos val="b"/>
        <c:numFmt formatCode="[$-419]dd/mm/yyyy" sourceLinked="1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70217427"/>
        <c:crosses val="autoZero"/>
        <c:auto val="1"/>
        <c:lblAlgn val="ctr"/>
        <c:lblOffset val="100"/>
        <c:noMultiLvlLbl val="0"/>
      </c:catAx>
      <c:valAx>
        <c:axId val="70217427"/>
        <c:scaling>
          <c:orientation val="minMax"/>
          <c:max val="1"/>
          <c:min val="0"/>
        </c:scaling>
        <c:delete val="0"/>
        <c:axPos val="l"/>
        <c:majorGridlines>
          <c:spPr>
            <a:ln w="9360">
              <a:solidFill>
                <a:srgbClr val="878787"/>
              </a:solidFill>
              <a:round/>
            </a:ln>
          </c:spPr>
        </c:majorGridlines>
        <c:numFmt formatCode="0%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26382143"/>
        <c:crosses val="autoZero"/>
        <c:crossBetween val="between"/>
      </c:valAx>
      <c:spPr>
        <a:noFill/>
        <a:ln w="9360">
          <a:noFill/>
        </a:ln>
      </c:spPr>
    </c:plotArea>
    <c:legend>
      <c:legendPos val="t"/>
      <c:overlay val="0"/>
      <c:spPr>
        <a:noFill/>
        <a:ln w="0">
          <a:noFill/>
        </a:ln>
      </c:spPr>
      <c:txPr>
        <a:bodyPr/>
        <a:lstStyle/>
        <a:p>
          <a:pPr>
            <a:defRPr b="0" sz="1000" spc="-1" strike="noStrike">
              <a:solidFill>
                <a:srgbClr val="000000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1" sz="1200" spc="-1" strike="noStrike">
                <a:solidFill>
                  <a:srgbClr val="000000"/>
                </a:solidFill>
                <a:latin typeface="Calibri"/>
              </a:defRPr>
            </a:pPr>
            <a:r>
              <a:rPr b="1" sz="1200" spc="-1" strike="noStrike">
                <a:solidFill>
                  <a:srgbClr val="000000"/>
                </a:solidFill>
                <a:latin typeface="Calibri"/>
              </a:rPr>
              <a:t>Художественно-эстетическое развитие</a:t>
            </a:r>
          </a:p>
        </c:rich>
      </c:tx>
      <c:overlay val="0"/>
      <c:spPr>
        <a:noFill/>
        <a:ln w="0">
          <a:noFill/>
        </a:ln>
      </c:spPr>
    </c:title>
    <c:autoTitleDeleted val="0"/>
    <c:plotArea>
      <c:doughnutChart>
        <c:varyColors val="1"/>
        <c:ser>
          <c:idx val="0"/>
          <c:order val="0"/>
          <c:tx>
            <c:strRef>
              <c:f>label 0</c:f>
              <c:strCache>
                <c:ptCount val="1"/>
                <c:pt idx="0">
                  <c:v>Серия1</c:v>
                </c:pt>
              </c:strCache>
            </c:strRef>
          </c:tx>
          <c:spPr>
            <a:solidFill>
              <a:srgbClr val="4f81bd"/>
            </a:solidFill>
            <a:ln w="0">
              <a:noFill/>
            </a:ln>
          </c:spPr>
          <c:explosion val="0"/>
          <c:dPt>
            <c:idx val="0"/>
            <c:spPr>
              <a:solidFill>
                <a:srgbClr val="4f81bd"/>
              </a:solidFill>
              <a:ln w="0">
                <a:noFill/>
              </a:ln>
            </c:spPr>
          </c:dPt>
          <c:dPt>
            <c:idx val="1"/>
            <c:spPr>
              <a:solidFill>
                <a:srgbClr val="c0504d"/>
              </a:solidFill>
              <a:ln w="0">
                <a:noFill/>
              </a:ln>
            </c:spPr>
          </c:dPt>
          <c:dPt>
            <c:idx val="2"/>
            <c:spPr>
              <a:solidFill>
                <a:srgbClr val="9bbb59"/>
              </a:solidFill>
              <a:ln w="0">
                <a:noFill/>
              </a:ln>
            </c:spPr>
          </c:dPt>
          <c:dLbls>
            <c:dLbl>
              <c:idx val="0"/>
              <c:txPr>
                <a:bodyPr wrap="squar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1"/>
              <c:separator>
</c:separator>
            </c:dLbl>
            <c:dLbl>
              <c:idx val="1"/>
              <c:txPr>
                <a:bodyPr wrap="squar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1"/>
              <c:separator>
</c:separator>
            </c:dLbl>
            <c:dLbl>
              <c:idx val="2"/>
              <c:txPr>
                <a:bodyPr wrap="squar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1"/>
              <c:separator>
</c:separator>
            </c:dLbl>
            <c:txPr>
              <a:bodyPr wrap="squar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1"/>
            <c:separator>
</c:separator>
            <c:showLeaderLines val="0"/>
          </c:dLbls>
          <c:cat>
            <c:strRef>
              <c:f>categories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3"/>
                <c:pt idx="0">
                  <c:v>0.18</c:v>
                </c:pt>
                <c:pt idx="1">
                  <c:v>0.58</c:v>
                </c:pt>
                <c:pt idx="2">
                  <c:v>0.24</c:v>
                </c:pt>
              </c:numCache>
            </c:numRef>
          </c:val>
        </c:ser>
        <c:firstSliceAng val="0"/>
        <c:holeSize val="50"/>
      </c:doughnutChart>
      <c:spPr>
        <a:noFill/>
        <a:ln w="9360">
          <a:noFill/>
        </a:ln>
      </c:spPr>
    </c:plotArea>
    <c:legend>
      <c:legendPos val="t"/>
      <c:overlay val="0"/>
      <c:spPr>
        <a:noFill/>
        <a:ln w="0">
          <a:noFill/>
        </a:ln>
      </c:spPr>
      <c:txPr>
        <a:bodyPr/>
        <a:lstStyle/>
        <a:p>
          <a:pPr>
            <a:defRPr b="0" sz="1000" spc="-1" strike="noStrike">
              <a:solidFill>
                <a:srgbClr val="000000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LibreOffice/7.1.0.3$Windows_X86_64 LibreOffice_project/f6099ecf3d29644b5008cc8f48f42f4a40986e4c</Application>
  <AppVersion>15.0000</AppVersion>
  <Pages>7</Pages>
  <Words>1132</Words>
  <Characters>8258</Characters>
  <CharactersWithSpaces>9421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2023-09-04T13:31:00Z</dcterms:created>
  <dc:creator/>
  <dc:description/>
  <dc:language>ru-RU</dc:language>
  <cp:lastModifiedBy/>
  <dcterms:modified xsi:type="dcterms:W3CDTF">2023-09-11T08:54:21Z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2023-02-21T00:00:00Z</vt:filetime>
  </property>
  <property fmtid="{D5CDD505-2E9C-101B-9397-08002B2CF9AE}" pid="3" name="LastSaved">
    <vt:filetime>2023-09-04T00:00:00Z</vt:filetime>
  </property>
</Properties>
</file>