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_rels/chart1.xml.rels" ContentType="application/vnd.openxmlformats-package.relationships+xml"/>
  <Override PartName="/word/charts/_rels/chart2.xml.rels" ContentType="application/vnd.openxmlformats-package.relationships+xml"/>
  <Override PartName="/word/charts/_rels/chart3.xml.rels" ContentType="application/vnd.openxmlformats-package.relationships+xml"/>
  <Override PartName="/word/charts/_rels/chart4.xml.rels" ContentType="application/vnd.openxmlformats-package.relationships+xml"/>
  <Override PartName="/word/charts/_rels/chart5.xml.rels" ContentType="application/vnd.openxmlformats-package.relationships+xml"/>
  <Override PartName="/word/charts/_rels/chart10.xml.rels" ContentType="application/vnd.openxmlformats-package.relationships+xml"/>
  <Override PartName="/word/charts/_rels/chart6.xml.rels" ContentType="application/vnd.openxmlformats-package.relationships+xml"/>
  <Override PartName="/word/charts/_rels/chart7.xml.rels" ContentType="application/vnd.openxmlformats-package.relationships+xml"/>
  <Override PartName="/word/charts/_rels/chart8.xml.rels" ContentType="application/vnd.openxmlformats-package.relationships+xml"/>
  <Override PartName="/word/charts/_rels/chart9.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embeddings/Microsoft_Excel_Worksheet1.xlsx" ContentType="application/vnd.openxmlformats-officedocument.spreadsheetml.sheet"/>
  <Override PartName="/word/embeddings/Microsoft_Excel_Worksheet9.xlsx" ContentType="application/vnd.openxmlformats-officedocument.spreadsheetml.sheet"/>
  <Override PartName="/word/embeddings/Microsoft_Excel_Worksheet6.xlsx" ContentType="application/vnd.openxmlformats-officedocument.spreadsheetml.sheet"/>
  <Override PartName="/word/embeddings/Microsoft_Excel_Worksheet.xlsx" ContentType="application/vnd.openxmlformats-officedocument.spreadsheetml.sheet"/>
  <Override PartName="/word/embeddings/Microsoft_Excel_Worksheet3.xlsx" ContentType="application/vnd.openxmlformats-officedocument.spreadsheetml.sheet"/>
  <Override PartName="/word/embeddings/Microsoft_Excel_Worksheet5.xlsx" ContentType="application/vnd.openxmlformats-officedocument.spreadsheetml.sheet"/>
  <Override PartName="/word/embeddings/Microsoft_Excel_Worksheet4.xlsx" ContentType="application/vnd.openxmlformats-officedocument.spreadsheetml.sheet"/>
  <Override PartName="/word/embeddings/Microsoft_Excel_Worksheet8.xlsx" ContentType="application/vnd.openxmlformats-officedocument.spreadsheetml.sheet"/>
  <Override PartName="/word/embeddings/Microsoft_Excel_Worksheet2.xlsx" ContentType="application/vnd.openxmlformats-officedocument.spreadsheetml.sheet"/>
  <Override PartName="/word/embeddings/Microsoft_Excel_Worksheet7.xlsx" ContentType="application/vnd.openxmlformats-officedocument.spreadsheetml.sheet"/>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2"/>
        <w:spacing w:lineRule="auto" w:line="276" w:before="61" w:after="0"/>
        <w:ind w:left="469" w:right="125" w:hanging="0"/>
        <w:jc w:val="center"/>
        <w:rPr>
          <w:sz w:val="28"/>
          <w:szCs w:val="28"/>
        </w:rPr>
      </w:pPr>
      <w:r>
        <w:rPr>
          <w:sz w:val="28"/>
          <w:szCs w:val="28"/>
        </w:rPr>
        <w:t>СПРАВКА</w:t>
      </w:r>
    </w:p>
    <w:p>
      <w:pPr>
        <w:pStyle w:val="Normal"/>
        <w:spacing w:lineRule="auto" w:line="276" w:before="3" w:after="0"/>
        <w:ind w:left="722" w:right="304" w:hanging="3"/>
        <w:jc w:val="center"/>
        <w:rPr>
          <w:b/>
          <w:b/>
          <w:sz w:val="28"/>
          <w:szCs w:val="28"/>
        </w:rPr>
      </w:pPr>
      <w:r>
        <w:rPr>
          <w:b/>
          <w:sz w:val="28"/>
          <w:szCs w:val="28"/>
        </w:rPr>
        <w:t>по результатам педагогической диагностики (мониторинга)</w:t>
      </w:r>
      <w:r>
        <w:rPr>
          <w:b/>
          <w:spacing w:val="1"/>
          <w:sz w:val="28"/>
          <w:szCs w:val="28"/>
        </w:rPr>
        <w:t xml:space="preserve"> </w:t>
      </w:r>
      <w:r>
        <w:rPr>
          <w:b/>
          <w:sz w:val="28"/>
          <w:szCs w:val="28"/>
        </w:rPr>
        <w:t>освоения детьми образовательной программы дошкольного образования</w:t>
      </w:r>
      <w:r>
        <w:rPr>
          <w:b/>
          <w:spacing w:val="-67"/>
          <w:sz w:val="28"/>
          <w:szCs w:val="28"/>
        </w:rPr>
        <w:t xml:space="preserve"> </w:t>
      </w:r>
      <w:r>
        <w:rPr>
          <w:b/>
          <w:sz w:val="28"/>
          <w:szCs w:val="28"/>
        </w:rPr>
        <w:t>за 2020-2021</w:t>
      </w:r>
      <w:r>
        <w:rPr>
          <w:b/>
          <w:spacing w:val="-3"/>
          <w:sz w:val="28"/>
          <w:szCs w:val="28"/>
        </w:rPr>
        <w:t xml:space="preserve"> </w:t>
      </w:r>
      <w:r>
        <w:rPr>
          <w:b/>
          <w:sz w:val="28"/>
          <w:szCs w:val="28"/>
        </w:rPr>
        <w:t>учебный</w:t>
      </w:r>
      <w:r>
        <w:rPr>
          <w:b/>
          <w:spacing w:val="-3"/>
          <w:sz w:val="28"/>
          <w:szCs w:val="28"/>
        </w:rPr>
        <w:t xml:space="preserve"> </w:t>
      </w:r>
      <w:r>
        <w:rPr>
          <w:b/>
          <w:sz w:val="28"/>
          <w:szCs w:val="28"/>
        </w:rPr>
        <w:t>год</w:t>
      </w:r>
    </w:p>
    <w:p>
      <w:pPr>
        <w:pStyle w:val="Style14"/>
        <w:spacing w:lineRule="auto" w:line="276" w:before="6" w:after="0"/>
        <w:jc w:val="both"/>
        <w:rPr>
          <w:b/>
          <w:b/>
          <w:sz w:val="28"/>
          <w:szCs w:val="28"/>
        </w:rPr>
      </w:pPr>
      <w:r>
        <w:rPr>
          <w:b/>
          <w:sz w:val="28"/>
          <w:szCs w:val="28"/>
        </w:rPr>
      </w:r>
    </w:p>
    <w:p>
      <w:pPr>
        <w:pStyle w:val="Normal"/>
        <w:spacing w:lineRule="auto" w:line="276"/>
        <w:ind w:left="475" w:right="424" w:hanging="0"/>
        <w:jc w:val="both"/>
        <w:rPr>
          <w:sz w:val="28"/>
          <w:szCs w:val="28"/>
        </w:rPr>
      </w:pPr>
      <w:r>
        <w:rPr>
          <w:b/>
          <w:sz w:val="28"/>
          <w:szCs w:val="28"/>
          <w:u w:val="thick"/>
        </w:rPr>
        <w:t>Основание</w:t>
      </w:r>
      <w:r>
        <w:rPr>
          <w:sz w:val="28"/>
          <w:szCs w:val="28"/>
          <w:u w:val="thick"/>
        </w:rPr>
        <w:t>:</w:t>
      </w:r>
      <w:r>
        <w:rPr>
          <w:sz w:val="28"/>
          <w:szCs w:val="28"/>
        </w:rPr>
        <w:t xml:space="preserve"> Приказ «О проведении педагогической диагностики (мониторинга)»</w:t>
      </w:r>
      <w:r>
        <w:rPr>
          <w:spacing w:val="-67"/>
          <w:sz w:val="28"/>
          <w:szCs w:val="28"/>
        </w:rPr>
        <w:t xml:space="preserve"> </w:t>
      </w:r>
      <w:r>
        <w:rPr>
          <w:sz w:val="28"/>
          <w:szCs w:val="28"/>
        </w:rPr>
        <w:t>от 12.04.2018</w:t>
      </w:r>
      <w:r>
        <w:rPr>
          <w:spacing w:val="-1"/>
          <w:sz w:val="28"/>
          <w:szCs w:val="28"/>
        </w:rPr>
        <w:t xml:space="preserve"> </w:t>
      </w:r>
      <w:r>
        <w:rPr>
          <w:sz w:val="28"/>
          <w:szCs w:val="28"/>
        </w:rPr>
        <w:t>№41</w:t>
      </w:r>
    </w:p>
    <w:p>
      <w:pPr>
        <w:pStyle w:val="Normal"/>
        <w:spacing w:lineRule="auto" w:line="276" w:before="2" w:after="0"/>
        <w:ind w:left="475" w:right="245" w:hanging="0"/>
        <w:jc w:val="both"/>
        <w:rPr>
          <w:sz w:val="28"/>
          <w:szCs w:val="28"/>
        </w:rPr>
      </w:pPr>
      <w:r>
        <w:rPr>
          <w:b/>
          <w:sz w:val="28"/>
          <w:szCs w:val="28"/>
          <w:u w:val="thick"/>
        </w:rPr>
        <w:t>Цель:</w:t>
      </w:r>
      <w:r>
        <w:rPr>
          <w:b/>
          <w:sz w:val="28"/>
          <w:szCs w:val="28"/>
        </w:rPr>
        <w:t xml:space="preserve"> </w:t>
      </w:r>
      <w:r>
        <w:rPr>
          <w:sz w:val="28"/>
          <w:szCs w:val="28"/>
        </w:rPr>
        <w:t>определение уровня освоения образовательной программы, изучение</w:t>
      </w:r>
      <w:r>
        <w:rPr>
          <w:spacing w:val="1"/>
          <w:sz w:val="28"/>
          <w:szCs w:val="28"/>
        </w:rPr>
        <w:t xml:space="preserve"> </w:t>
      </w:r>
      <w:r>
        <w:rPr>
          <w:sz w:val="28"/>
          <w:szCs w:val="28"/>
        </w:rPr>
        <w:t>динамики достижений воспитанниками по всем направлениям развития,</w:t>
      </w:r>
      <w:r>
        <w:rPr>
          <w:spacing w:val="1"/>
          <w:sz w:val="28"/>
          <w:szCs w:val="28"/>
        </w:rPr>
        <w:t xml:space="preserve"> </w:t>
      </w:r>
      <w:r>
        <w:rPr>
          <w:sz w:val="28"/>
          <w:szCs w:val="28"/>
        </w:rPr>
        <w:t>построение образовательной траектории, прогнозирование педагогической работы</w:t>
      </w:r>
      <w:r>
        <w:rPr>
          <w:spacing w:val="-67"/>
          <w:sz w:val="28"/>
          <w:szCs w:val="28"/>
        </w:rPr>
        <w:t xml:space="preserve"> </w:t>
      </w:r>
      <w:r>
        <w:rPr>
          <w:sz w:val="28"/>
          <w:szCs w:val="28"/>
        </w:rPr>
        <w:t>с</w:t>
      </w:r>
      <w:r>
        <w:rPr>
          <w:spacing w:val="-1"/>
          <w:sz w:val="28"/>
          <w:szCs w:val="28"/>
        </w:rPr>
        <w:t xml:space="preserve"> </w:t>
      </w:r>
      <w:r>
        <w:rPr>
          <w:sz w:val="28"/>
          <w:szCs w:val="28"/>
        </w:rPr>
        <w:t>детьми,</w:t>
      </w:r>
      <w:r>
        <w:rPr>
          <w:spacing w:val="-3"/>
          <w:sz w:val="28"/>
          <w:szCs w:val="28"/>
        </w:rPr>
        <w:t xml:space="preserve"> </w:t>
      </w:r>
      <w:r>
        <w:rPr>
          <w:sz w:val="28"/>
          <w:szCs w:val="28"/>
        </w:rPr>
        <w:t>определение эффективности образовательной деятельности.</w:t>
      </w:r>
    </w:p>
    <w:p>
      <w:pPr>
        <w:pStyle w:val="Normal"/>
        <w:spacing w:lineRule="auto" w:line="276" w:before="6" w:after="0"/>
        <w:ind w:left="475" w:right="5587" w:hanging="0"/>
        <w:jc w:val="both"/>
        <w:rPr>
          <w:sz w:val="28"/>
          <w:szCs w:val="28"/>
        </w:rPr>
      </w:pPr>
      <w:r>
        <w:rPr>
          <w:b/>
          <w:sz w:val="28"/>
          <w:szCs w:val="28"/>
          <w:u w:val="single"/>
        </w:rPr>
        <w:t>Срок проведения</w:t>
      </w:r>
      <w:r>
        <w:rPr>
          <w:sz w:val="28"/>
          <w:szCs w:val="28"/>
          <w:u w:val="single"/>
        </w:rPr>
        <w:t>: 15.05-26.05. 2021г</w:t>
      </w:r>
      <w:r>
        <w:rPr>
          <w:sz w:val="28"/>
          <w:szCs w:val="28"/>
        </w:rPr>
        <w:t>.</w:t>
      </w:r>
      <w:r>
        <w:rPr>
          <w:spacing w:val="-67"/>
          <w:sz w:val="28"/>
          <w:szCs w:val="28"/>
        </w:rPr>
        <w:t xml:space="preserve"> </w:t>
      </w:r>
      <w:r>
        <w:rPr>
          <w:b/>
          <w:sz w:val="28"/>
          <w:szCs w:val="28"/>
          <w:u w:val="thick"/>
        </w:rPr>
        <w:t>Количество</w:t>
      </w:r>
      <w:r>
        <w:rPr>
          <w:b/>
          <w:spacing w:val="-1"/>
          <w:sz w:val="28"/>
          <w:szCs w:val="28"/>
          <w:u w:val="thick"/>
        </w:rPr>
        <w:t xml:space="preserve"> </w:t>
      </w:r>
      <w:r>
        <w:rPr>
          <w:b/>
          <w:sz w:val="28"/>
          <w:szCs w:val="28"/>
          <w:u w:val="thick"/>
        </w:rPr>
        <w:t>детей</w:t>
      </w:r>
      <w:r>
        <w:rPr>
          <w:sz w:val="28"/>
          <w:szCs w:val="28"/>
          <w:u w:val="thick"/>
        </w:rPr>
        <w:t>:</w:t>
      </w:r>
      <w:r>
        <w:rPr>
          <w:sz w:val="28"/>
          <w:szCs w:val="28"/>
        </w:rPr>
        <w:t xml:space="preserve"> 25</w:t>
      </w:r>
    </w:p>
    <w:p>
      <w:pPr>
        <w:pStyle w:val="Normal"/>
        <w:spacing w:lineRule="auto" w:line="276"/>
        <w:ind w:left="475" w:hanging="0"/>
        <w:jc w:val="both"/>
        <w:rPr>
          <w:sz w:val="28"/>
          <w:szCs w:val="28"/>
        </w:rPr>
      </w:pPr>
      <w:r>
        <w:rPr/>
      </w:r>
    </w:p>
    <w:p>
      <w:pPr>
        <w:pStyle w:val="Normal"/>
        <w:spacing w:lineRule="auto" w:line="276"/>
        <w:ind w:left="475" w:right="894" w:hanging="0"/>
        <w:jc w:val="both"/>
        <w:rPr>
          <w:sz w:val="28"/>
          <w:szCs w:val="28"/>
        </w:rPr>
      </w:pPr>
      <w:r>
        <w:rPr>
          <w:sz w:val="28"/>
          <w:szCs w:val="28"/>
        </w:rPr>
        <w:t>Педагогическая диагностика проводилась на основании беседы, наблюдения,</w:t>
      </w:r>
      <w:r>
        <w:rPr>
          <w:spacing w:val="-67"/>
          <w:sz w:val="28"/>
          <w:szCs w:val="28"/>
        </w:rPr>
        <w:t xml:space="preserve"> </w:t>
      </w:r>
      <w:r>
        <w:rPr>
          <w:sz w:val="28"/>
          <w:szCs w:val="28"/>
        </w:rPr>
        <w:t>анализа</w:t>
      </w:r>
      <w:r>
        <w:rPr>
          <w:spacing w:val="-1"/>
          <w:sz w:val="28"/>
          <w:szCs w:val="28"/>
        </w:rPr>
        <w:t xml:space="preserve"> </w:t>
      </w:r>
      <w:r>
        <w:rPr>
          <w:sz w:val="28"/>
          <w:szCs w:val="28"/>
        </w:rPr>
        <w:t>продуктов</w:t>
      </w:r>
      <w:r>
        <w:rPr>
          <w:spacing w:val="-1"/>
          <w:sz w:val="28"/>
          <w:szCs w:val="28"/>
        </w:rPr>
        <w:t xml:space="preserve"> </w:t>
      </w:r>
      <w:r>
        <w:rPr>
          <w:sz w:val="28"/>
          <w:szCs w:val="28"/>
        </w:rPr>
        <w:t>детской</w:t>
      </w:r>
      <w:r>
        <w:rPr>
          <w:spacing w:val="-1"/>
          <w:sz w:val="28"/>
          <w:szCs w:val="28"/>
        </w:rPr>
        <w:t xml:space="preserve"> </w:t>
      </w:r>
      <w:r>
        <w:rPr>
          <w:sz w:val="28"/>
          <w:szCs w:val="28"/>
        </w:rPr>
        <w:t>деятельности</w:t>
      </w:r>
      <w:r>
        <w:rPr>
          <w:spacing w:val="-1"/>
          <w:sz w:val="28"/>
          <w:szCs w:val="28"/>
        </w:rPr>
        <w:t xml:space="preserve"> </w:t>
      </w:r>
      <w:r>
        <w:rPr>
          <w:sz w:val="28"/>
          <w:szCs w:val="28"/>
        </w:rPr>
        <w:t>и диагностических</w:t>
      </w:r>
      <w:r>
        <w:rPr>
          <w:spacing w:val="-1"/>
          <w:sz w:val="28"/>
          <w:szCs w:val="28"/>
        </w:rPr>
        <w:t xml:space="preserve"> </w:t>
      </w:r>
      <w:r>
        <w:rPr>
          <w:sz w:val="28"/>
          <w:szCs w:val="28"/>
        </w:rPr>
        <w:t>заданий.</w:t>
      </w:r>
    </w:p>
    <w:p>
      <w:pPr>
        <w:pStyle w:val="Normal"/>
        <w:spacing w:lineRule="auto" w:line="276"/>
        <w:ind w:left="475" w:right="272" w:hanging="0"/>
        <w:jc w:val="both"/>
        <w:rPr>
          <w:sz w:val="28"/>
          <w:szCs w:val="28"/>
        </w:rPr>
      </w:pPr>
      <w:hyperlink r:id="rId2">
        <w:r>
          <w:rPr>
            <w:sz w:val="28"/>
            <w:szCs w:val="28"/>
          </w:rPr>
          <w:t>Образовательная программа дошкольного образования «От рождения до школы» /</w:t>
        </w:r>
      </w:hyperlink>
      <w:r>
        <w:rPr>
          <w:spacing w:val="-67"/>
          <w:sz w:val="28"/>
          <w:szCs w:val="28"/>
        </w:rPr>
        <w:t xml:space="preserve"> </w:t>
      </w:r>
      <w:hyperlink r:id="rId3">
        <w:r>
          <w:rPr>
            <w:sz w:val="28"/>
            <w:szCs w:val="28"/>
          </w:rPr>
          <w:t>Под</w:t>
        </w:r>
        <w:r>
          <w:rPr>
            <w:spacing w:val="-1"/>
            <w:sz w:val="28"/>
            <w:szCs w:val="28"/>
          </w:rPr>
          <w:t xml:space="preserve"> </w:t>
        </w:r>
        <w:r>
          <w:rPr>
            <w:sz w:val="28"/>
            <w:szCs w:val="28"/>
          </w:rPr>
          <w:t>редакцией Н.Е.</w:t>
        </w:r>
        <w:r>
          <w:rPr>
            <w:spacing w:val="-1"/>
            <w:sz w:val="28"/>
            <w:szCs w:val="28"/>
          </w:rPr>
          <w:t xml:space="preserve"> </w:t>
        </w:r>
        <w:r>
          <w:rPr>
            <w:sz w:val="28"/>
            <w:szCs w:val="28"/>
          </w:rPr>
          <w:t>Вераксы, Т.С.</w:t>
        </w:r>
        <w:r>
          <w:rPr>
            <w:spacing w:val="-1"/>
            <w:sz w:val="28"/>
            <w:szCs w:val="28"/>
          </w:rPr>
          <w:t xml:space="preserve"> </w:t>
        </w:r>
        <w:r>
          <w:rPr>
            <w:sz w:val="28"/>
            <w:szCs w:val="28"/>
          </w:rPr>
          <w:t>Комаровой, М.А.</w:t>
        </w:r>
        <w:r>
          <w:rPr>
            <w:spacing w:val="-1"/>
            <w:sz w:val="28"/>
            <w:szCs w:val="28"/>
          </w:rPr>
          <w:t xml:space="preserve"> </w:t>
        </w:r>
        <w:r>
          <w:rPr>
            <w:sz w:val="28"/>
            <w:szCs w:val="28"/>
          </w:rPr>
          <w:t>Васильевой.</w:t>
        </w:r>
      </w:hyperlink>
    </w:p>
    <w:p>
      <w:pPr>
        <w:pStyle w:val="Style14"/>
        <w:spacing w:lineRule="auto" w:line="276" w:before="6" w:after="0"/>
        <w:jc w:val="both"/>
        <w:rPr>
          <w:sz w:val="28"/>
          <w:szCs w:val="28"/>
        </w:rPr>
      </w:pPr>
      <w:r>
        <w:rPr>
          <w:sz w:val="28"/>
          <w:szCs w:val="28"/>
        </w:rPr>
      </w:r>
    </w:p>
    <w:p>
      <w:pPr>
        <w:pStyle w:val="Normal"/>
        <w:spacing w:lineRule="auto" w:line="276"/>
        <w:ind w:left="475" w:right="424" w:hanging="0"/>
        <w:jc w:val="both"/>
        <w:rPr>
          <w:sz w:val="28"/>
          <w:szCs w:val="28"/>
        </w:rPr>
      </w:pPr>
      <w:r>
        <w:rPr>
          <w:sz w:val="28"/>
          <w:szCs w:val="28"/>
          <w:u w:val="single"/>
        </w:rPr>
        <w:t>Диагностический инструментарий и разделы мониторинга:</w:t>
      </w:r>
      <w:r>
        <w:rPr>
          <w:sz w:val="28"/>
          <w:szCs w:val="28"/>
        </w:rPr>
        <w:t xml:space="preserve"> обследование детей</w:t>
      </w:r>
      <w:r>
        <w:rPr>
          <w:spacing w:val="1"/>
          <w:sz w:val="28"/>
          <w:szCs w:val="28"/>
        </w:rPr>
        <w:t xml:space="preserve"> </w:t>
      </w:r>
      <w:r>
        <w:rPr>
          <w:sz w:val="28"/>
          <w:szCs w:val="28"/>
        </w:rPr>
        <w:t>проводилось</w:t>
      </w:r>
      <w:r>
        <w:rPr>
          <w:spacing w:val="-3"/>
          <w:sz w:val="28"/>
          <w:szCs w:val="28"/>
        </w:rPr>
        <w:t xml:space="preserve"> </w:t>
      </w:r>
      <w:r>
        <w:rPr>
          <w:sz w:val="28"/>
          <w:szCs w:val="28"/>
        </w:rPr>
        <w:t>по</w:t>
      </w:r>
      <w:r>
        <w:rPr>
          <w:spacing w:val="-3"/>
          <w:sz w:val="28"/>
          <w:szCs w:val="28"/>
        </w:rPr>
        <w:t xml:space="preserve"> </w:t>
      </w:r>
      <w:r>
        <w:rPr>
          <w:sz w:val="28"/>
          <w:szCs w:val="28"/>
        </w:rPr>
        <w:t>основной</w:t>
      </w:r>
      <w:r>
        <w:rPr>
          <w:spacing w:val="-2"/>
          <w:sz w:val="28"/>
          <w:szCs w:val="28"/>
        </w:rPr>
        <w:t xml:space="preserve"> </w:t>
      </w:r>
      <w:r>
        <w:rPr>
          <w:sz w:val="28"/>
          <w:szCs w:val="28"/>
        </w:rPr>
        <w:t>образовательной</w:t>
      </w:r>
      <w:r>
        <w:rPr>
          <w:spacing w:val="-3"/>
          <w:sz w:val="28"/>
          <w:szCs w:val="28"/>
        </w:rPr>
        <w:t xml:space="preserve"> </w:t>
      </w:r>
      <w:r>
        <w:rPr>
          <w:sz w:val="28"/>
          <w:szCs w:val="28"/>
        </w:rPr>
        <w:t>программе</w:t>
      </w:r>
      <w:r>
        <w:rPr>
          <w:spacing w:val="-5"/>
          <w:sz w:val="28"/>
          <w:szCs w:val="28"/>
        </w:rPr>
        <w:t xml:space="preserve"> </w:t>
      </w:r>
      <w:r>
        <w:rPr>
          <w:sz w:val="28"/>
          <w:szCs w:val="28"/>
        </w:rPr>
        <w:t>дошкольного</w:t>
      </w:r>
      <w:r>
        <w:rPr>
          <w:spacing w:val="-3"/>
          <w:sz w:val="28"/>
          <w:szCs w:val="28"/>
        </w:rPr>
        <w:t xml:space="preserve"> </w:t>
      </w:r>
      <w:r>
        <w:rPr>
          <w:sz w:val="28"/>
          <w:szCs w:val="28"/>
        </w:rPr>
        <w:t>образования</w:t>
      </w:r>
    </w:p>
    <w:p>
      <w:pPr>
        <w:pStyle w:val="Normal"/>
        <w:spacing w:lineRule="auto" w:line="276" w:before="16" w:after="0"/>
        <w:ind w:left="475" w:right="424" w:hanging="0"/>
        <w:jc w:val="both"/>
        <w:rPr>
          <w:sz w:val="28"/>
          <w:szCs w:val="28"/>
        </w:rPr>
      </w:pPr>
      <w:r>
        <w:rPr>
          <w:sz w:val="28"/>
          <w:szCs w:val="28"/>
        </w:rPr>
        <w:t>«От</w:t>
      </w:r>
      <w:r>
        <w:rPr>
          <w:spacing w:val="-2"/>
          <w:sz w:val="28"/>
          <w:szCs w:val="28"/>
        </w:rPr>
        <w:t xml:space="preserve"> </w:t>
      </w:r>
      <w:r>
        <w:rPr>
          <w:sz w:val="28"/>
          <w:szCs w:val="28"/>
        </w:rPr>
        <w:t>рождения</w:t>
      </w:r>
      <w:r>
        <w:rPr>
          <w:spacing w:val="1"/>
          <w:sz w:val="28"/>
          <w:szCs w:val="28"/>
        </w:rPr>
        <w:t xml:space="preserve"> </w:t>
      </w:r>
      <w:r>
        <w:rPr>
          <w:sz w:val="28"/>
          <w:szCs w:val="28"/>
        </w:rPr>
        <w:t>до</w:t>
      </w:r>
      <w:r>
        <w:rPr>
          <w:spacing w:val="1"/>
          <w:sz w:val="28"/>
          <w:szCs w:val="28"/>
        </w:rPr>
        <w:t xml:space="preserve"> </w:t>
      </w:r>
      <w:r>
        <w:rPr>
          <w:sz w:val="28"/>
          <w:szCs w:val="28"/>
        </w:rPr>
        <w:t>школы» под</w:t>
      </w:r>
      <w:r>
        <w:rPr>
          <w:spacing w:val="8"/>
          <w:sz w:val="28"/>
          <w:szCs w:val="28"/>
        </w:rPr>
        <w:t xml:space="preserve"> </w:t>
      </w:r>
      <w:r>
        <w:rPr>
          <w:sz w:val="28"/>
          <w:szCs w:val="28"/>
        </w:rPr>
        <w:t>ред.</w:t>
      </w:r>
      <w:r>
        <w:rPr>
          <w:spacing w:val="1"/>
          <w:sz w:val="28"/>
          <w:szCs w:val="28"/>
        </w:rPr>
        <w:t xml:space="preserve"> </w:t>
      </w:r>
      <w:r>
        <w:rPr>
          <w:sz w:val="28"/>
          <w:szCs w:val="28"/>
        </w:rPr>
        <w:t>Н.</w:t>
      </w:r>
      <w:r>
        <w:rPr>
          <w:spacing w:val="-2"/>
          <w:sz w:val="28"/>
          <w:szCs w:val="28"/>
        </w:rPr>
        <w:t xml:space="preserve"> </w:t>
      </w:r>
      <w:r>
        <w:rPr>
          <w:sz w:val="28"/>
          <w:szCs w:val="28"/>
        </w:rPr>
        <w:t>Е.</w:t>
      </w:r>
      <w:r>
        <w:rPr>
          <w:spacing w:val="-2"/>
          <w:sz w:val="28"/>
          <w:szCs w:val="28"/>
        </w:rPr>
        <w:t xml:space="preserve"> </w:t>
      </w:r>
      <w:r>
        <w:rPr>
          <w:sz w:val="28"/>
          <w:szCs w:val="28"/>
        </w:rPr>
        <w:t>Вераксы,</w:t>
      </w:r>
      <w:r>
        <w:rPr>
          <w:spacing w:val="1"/>
          <w:sz w:val="28"/>
          <w:szCs w:val="28"/>
        </w:rPr>
        <w:t xml:space="preserve"> </w:t>
      </w:r>
      <w:r>
        <w:rPr>
          <w:sz w:val="28"/>
          <w:szCs w:val="28"/>
        </w:rPr>
        <w:t>Т.</w:t>
      </w:r>
      <w:r>
        <w:rPr>
          <w:spacing w:val="-3"/>
          <w:sz w:val="28"/>
          <w:szCs w:val="28"/>
        </w:rPr>
        <w:t xml:space="preserve"> </w:t>
      </w:r>
      <w:r>
        <w:rPr>
          <w:sz w:val="28"/>
          <w:szCs w:val="28"/>
        </w:rPr>
        <w:t>С.</w:t>
      </w:r>
      <w:r>
        <w:rPr>
          <w:spacing w:val="1"/>
          <w:sz w:val="28"/>
          <w:szCs w:val="28"/>
        </w:rPr>
        <w:t xml:space="preserve"> </w:t>
      </w:r>
      <w:r>
        <w:rPr>
          <w:sz w:val="28"/>
          <w:szCs w:val="28"/>
        </w:rPr>
        <w:t>Комаровой,</w:t>
      </w:r>
      <w:r>
        <w:rPr>
          <w:spacing w:val="1"/>
          <w:sz w:val="28"/>
          <w:szCs w:val="28"/>
        </w:rPr>
        <w:t xml:space="preserve"> </w:t>
      </w:r>
      <w:r>
        <w:rPr>
          <w:sz w:val="28"/>
          <w:szCs w:val="28"/>
        </w:rPr>
        <w:t>М.</w:t>
      </w:r>
      <w:r>
        <w:rPr>
          <w:spacing w:val="-1"/>
          <w:sz w:val="28"/>
          <w:szCs w:val="28"/>
        </w:rPr>
        <w:t xml:space="preserve"> </w:t>
      </w:r>
      <w:r>
        <w:rPr>
          <w:sz w:val="28"/>
          <w:szCs w:val="28"/>
        </w:rPr>
        <w:t>А.</w:t>
      </w:r>
      <w:r>
        <w:rPr>
          <w:spacing w:val="-67"/>
          <w:sz w:val="28"/>
          <w:szCs w:val="28"/>
        </w:rPr>
        <w:t xml:space="preserve"> </w:t>
      </w:r>
      <w:r>
        <w:rPr>
          <w:sz w:val="28"/>
          <w:szCs w:val="28"/>
        </w:rPr>
        <w:t>Васильевой. -</w:t>
      </w:r>
      <w:r>
        <w:rPr>
          <w:spacing w:val="-1"/>
          <w:sz w:val="28"/>
          <w:szCs w:val="28"/>
        </w:rPr>
        <w:t xml:space="preserve"> </w:t>
      </w:r>
      <w:r>
        <w:rPr>
          <w:sz w:val="28"/>
          <w:szCs w:val="28"/>
        </w:rPr>
        <w:t>М.:</w:t>
      </w:r>
      <w:r>
        <w:rPr>
          <w:spacing w:val="-3"/>
          <w:sz w:val="28"/>
          <w:szCs w:val="28"/>
        </w:rPr>
        <w:t xml:space="preserve"> </w:t>
      </w:r>
      <w:r>
        <w:rPr>
          <w:sz w:val="28"/>
          <w:szCs w:val="28"/>
        </w:rPr>
        <w:t>по следующим направлениям:</w:t>
      </w:r>
    </w:p>
    <w:p>
      <w:pPr>
        <w:pStyle w:val="ListParagraph"/>
        <w:numPr>
          <w:ilvl w:val="0"/>
          <w:numId w:val="1"/>
        </w:numPr>
        <w:tabs>
          <w:tab w:val="clear" w:pos="720"/>
          <w:tab w:val="left" w:pos="317" w:leader="none"/>
        </w:tabs>
        <w:spacing w:lineRule="auto" w:line="276"/>
        <w:ind w:left="316" w:right="229" w:hanging="317"/>
        <w:jc w:val="both"/>
        <w:rPr>
          <w:sz w:val="28"/>
          <w:szCs w:val="28"/>
        </w:rPr>
      </w:pPr>
      <w:r>
        <w:rPr>
          <w:sz w:val="28"/>
          <w:szCs w:val="28"/>
        </w:rPr>
        <w:t>«Речевое</w:t>
      </w:r>
      <w:r>
        <w:rPr>
          <w:spacing w:val="-5"/>
          <w:sz w:val="28"/>
          <w:szCs w:val="28"/>
        </w:rPr>
        <w:t xml:space="preserve"> </w:t>
      </w:r>
      <w:r>
        <w:rPr>
          <w:sz w:val="28"/>
          <w:szCs w:val="28"/>
        </w:rPr>
        <w:t>развитие»</w:t>
      </w:r>
      <w:r>
        <w:rPr>
          <w:spacing w:val="-1"/>
          <w:sz w:val="28"/>
          <w:szCs w:val="28"/>
        </w:rPr>
        <w:t xml:space="preserve"> </w:t>
      </w:r>
      <w:r>
        <w:rPr>
          <w:sz w:val="28"/>
          <w:szCs w:val="28"/>
        </w:rPr>
        <w:t>(</w:t>
      </w:r>
      <w:r>
        <w:rPr>
          <w:sz w:val="28"/>
          <w:szCs w:val="28"/>
          <w:u w:val="single"/>
        </w:rPr>
        <w:t>Гербова</w:t>
      </w:r>
      <w:r>
        <w:rPr>
          <w:spacing w:val="-1"/>
          <w:sz w:val="28"/>
          <w:szCs w:val="28"/>
          <w:u w:val="single"/>
        </w:rPr>
        <w:t xml:space="preserve"> </w:t>
      </w:r>
      <w:r>
        <w:rPr>
          <w:sz w:val="28"/>
          <w:szCs w:val="28"/>
          <w:u w:val="single"/>
        </w:rPr>
        <w:t>В.</w:t>
      </w:r>
      <w:r>
        <w:rPr>
          <w:spacing w:val="-2"/>
          <w:sz w:val="28"/>
          <w:szCs w:val="28"/>
          <w:u w:val="single"/>
        </w:rPr>
        <w:t xml:space="preserve"> </w:t>
      </w:r>
      <w:r>
        <w:rPr>
          <w:sz w:val="28"/>
          <w:szCs w:val="28"/>
          <w:u w:val="single"/>
        </w:rPr>
        <w:t>В.</w:t>
      </w:r>
      <w:r>
        <w:rPr>
          <w:spacing w:val="-1"/>
          <w:sz w:val="28"/>
          <w:szCs w:val="28"/>
          <w:u w:val="single"/>
        </w:rPr>
        <w:t xml:space="preserve"> </w:t>
      </w:r>
      <w:r>
        <w:rPr>
          <w:sz w:val="28"/>
          <w:szCs w:val="28"/>
          <w:u w:val="single"/>
        </w:rPr>
        <w:t>«Развитие</w:t>
      </w:r>
      <w:r>
        <w:rPr>
          <w:spacing w:val="-1"/>
          <w:sz w:val="28"/>
          <w:szCs w:val="28"/>
          <w:u w:val="single"/>
        </w:rPr>
        <w:t xml:space="preserve"> </w:t>
      </w:r>
      <w:r>
        <w:rPr>
          <w:sz w:val="28"/>
          <w:szCs w:val="28"/>
          <w:u w:val="single"/>
        </w:rPr>
        <w:t>речи</w:t>
      </w:r>
      <w:r>
        <w:rPr>
          <w:spacing w:val="-2"/>
          <w:sz w:val="28"/>
          <w:szCs w:val="28"/>
          <w:u w:val="single"/>
        </w:rPr>
        <w:t xml:space="preserve"> </w:t>
      </w:r>
      <w:r>
        <w:rPr>
          <w:sz w:val="28"/>
          <w:szCs w:val="28"/>
          <w:u w:val="single"/>
        </w:rPr>
        <w:t>в</w:t>
      </w:r>
      <w:r>
        <w:rPr>
          <w:spacing w:val="-1"/>
          <w:sz w:val="28"/>
          <w:szCs w:val="28"/>
          <w:u w:val="single"/>
        </w:rPr>
        <w:t xml:space="preserve"> </w:t>
      </w:r>
      <w:r>
        <w:rPr>
          <w:sz w:val="28"/>
          <w:szCs w:val="28"/>
          <w:u w:val="single"/>
        </w:rPr>
        <w:t>детском</w:t>
      </w:r>
      <w:r>
        <w:rPr>
          <w:spacing w:val="-1"/>
          <w:sz w:val="28"/>
          <w:szCs w:val="28"/>
          <w:u w:val="single"/>
        </w:rPr>
        <w:t xml:space="preserve"> </w:t>
      </w:r>
      <w:r>
        <w:rPr>
          <w:sz w:val="28"/>
          <w:szCs w:val="28"/>
          <w:u w:val="single"/>
        </w:rPr>
        <w:t>саду»,</w:t>
      </w:r>
      <w:r>
        <w:rPr>
          <w:spacing w:val="-2"/>
          <w:sz w:val="28"/>
          <w:szCs w:val="28"/>
          <w:u w:val="single"/>
        </w:rPr>
        <w:t xml:space="preserve"> </w:t>
      </w:r>
      <w:r>
        <w:rPr>
          <w:sz w:val="28"/>
          <w:szCs w:val="28"/>
          <w:u w:val="single"/>
        </w:rPr>
        <w:t>Максаков</w:t>
      </w:r>
      <w:r>
        <w:rPr>
          <w:spacing w:val="-1"/>
          <w:sz w:val="28"/>
          <w:szCs w:val="28"/>
          <w:u w:val="single"/>
        </w:rPr>
        <w:t xml:space="preserve"> </w:t>
      </w:r>
      <w:r>
        <w:rPr>
          <w:sz w:val="28"/>
          <w:szCs w:val="28"/>
          <w:u w:val="single"/>
        </w:rPr>
        <w:t>А.</w:t>
      </w:r>
      <w:r>
        <w:rPr>
          <w:spacing w:val="-3"/>
          <w:sz w:val="28"/>
          <w:szCs w:val="28"/>
        </w:rPr>
        <w:t xml:space="preserve"> </w:t>
      </w:r>
      <w:r>
        <w:rPr>
          <w:sz w:val="28"/>
          <w:szCs w:val="28"/>
          <w:u w:val="single"/>
        </w:rPr>
        <w:t>И.</w:t>
      </w:r>
    </w:p>
    <w:p>
      <w:pPr>
        <w:pStyle w:val="Normal"/>
        <w:spacing w:lineRule="auto" w:line="276"/>
        <w:ind w:left="469" w:right="651" w:hanging="0"/>
        <w:jc w:val="both"/>
        <w:rPr>
          <w:sz w:val="28"/>
          <w:szCs w:val="28"/>
        </w:rPr>
      </w:pPr>
      <w:r>
        <w:rPr>
          <w:sz w:val="28"/>
          <w:szCs w:val="28"/>
          <w:u w:val="single"/>
        </w:rPr>
        <w:t>«</w:t>
      </w:r>
      <w:r>
        <w:rPr>
          <w:spacing w:val="-1"/>
          <w:sz w:val="28"/>
          <w:szCs w:val="28"/>
          <w:u w:val="single"/>
        </w:rPr>
        <w:t xml:space="preserve"> </w:t>
      </w:r>
      <w:r>
        <w:rPr>
          <w:sz w:val="28"/>
          <w:szCs w:val="28"/>
          <w:u w:val="single"/>
        </w:rPr>
        <w:t>Правильно</w:t>
      </w:r>
      <w:r>
        <w:rPr>
          <w:spacing w:val="-1"/>
          <w:sz w:val="28"/>
          <w:szCs w:val="28"/>
          <w:u w:val="single"/>
        </w:rPr>
        <w:t xml:space="preserve"> </w:t>
      </w:r>
      <w:r>
        <w:rPr>
          <w:sz w:val="28"/>
          <w:szCs w:val="28"/>
          <w:u w:val="single"/>
        </w:rPr>
        <w:t>ли</w:t>
      </w:r>
      <w:r>
        <w:rPr>
          <w:spacing w:val="-1"/>
          <w:sz w:val="28"/>
          <w:szCs w:val="28"/>
          <w:u w:val="single"/>
        </w:rPr>
        <w:t xml:space="preserve"> </w:t>
      </w:r>
      <w:r>
        <w:rPr>
          <w:sz w:val="28"/>
          <w:szCs w:val="28"/>
          <w:u w:val="single"/>
        </w:rPr>
        <w:t>говорит ваш</w:t>
      </w:r>
      <w:r>
        <w:rPr>
          <w:spacing w:val="-5"/>
          <w:sz w:val="28"/>
          <w:szCs w:val="28"/>
          <w:u w:val="single"/>
        </w:rPr>
        <w:t xml:space="preserve"> </w:t>
      </w:r>
      <w:r>
        <w:rPr>
          <w:sz w:val="28"/>
          <w:szCs w:val="28"/>
          <w:u w:val="single"/>
        </w:rPr>
        <w:t>ребенок»,</w:t>
      </w:r>
      <w:r>
        <w:rPr>
          <w:spacing w:val="-1"/>
          <w:sz w:val="28"/>
          <w:szCs w:val="28"/>
          <w:u w:val="single"/>
        </w:rPr>
        <w:t xml:space="preserve"> </w:t>
      </w:r>
      <w:r>
        <w:rPr>
          <w:sz w:val="28"/>
          <w:szCs w:val="28"/>
          <w:u w:val="single"/>
        </w:rPr>
        <w:t>Денисова</w:t>
      </w:r>
      <w:r>
        <w:rPr>
          <w:spacing w:val="-1"/>
          <w:sz w:val="28"/>
          <w:szCs w:val="28"/>
          <w:u w:val="single"/>
        </w:rPr>
        <w:t xml:space="preserve"> </w:t>
      </w:r>
      <w:r>
        <w:rPr>
          <w:sz w:val="28"/>
          <w:szCs w:val="28"/>
          <w:u w:val="single"/>
        </w:rPr>
        <w:t>Д. Развитие</w:t>
      </w:r>
      <w:r>
        <w:rPr>
          <w:spacing w:val="-1"/>
          <w:sz w:val="28"/>
          <w:szCs w:val="28"/>
          <w:u w:val="single"/>
        </w:rPr>
        <w:t xml:space="preserve"> </w:t>
      </w:r>
      <w:r>
        <w:rPr>
          <w:sz w:val="28"/>
          <w:szCs w:val="28"/>
          <w:u w:val="single"/>
        </w:rPr>
        <w:t>речи</w:t>
      </w:r>
      <w:r>
        <w:rPr>
          <w:spacing w:val="-1"/>
          <w:sz w:val="28"/>
          <w:szCs w:val="28"/>
          <w:u w:val="single"/>
        </w:rPr>
        <w:t xml:space="preserve"> </w:t>
      </w:r>
      <w:r>
        <w:rPr>
          <w:sz w:val="28"/>
          <w:szCs w:val="28"/>
          <w:u w:val="single"/>
        </w:rPr>
        <w:t>у</w:t>
      </w:r>
      <w:r>
        <w:rPr>
          <w:spacing w:val="-5"/>
          <w:sz w:val="28"/>
          <w:szCs w:val="28"/>
          <w:u w:val="single"/>
        </w:rPr>
        <w:t xml:space="preserve"> </w:t>
      </w:r>
      <w:r>
        <w:rPr>
          <w:sz w:val="28"/>
          <w:szCs w:val="28"/>
          <w:u w:val="single"/>
        </w:rPr>
        <w:t>малышей</w:t>
      </w:r>
      <w:r>
        <w:rPr>
          <w:sz w:val="28"/>
          <w:szCs w:val="28"/>
        </w:rPr>
        <w:t>).</w:t>
      </w:r>
    </w:p>
    <w:p>
      <w:pPr>
        <w:pStyle w:val="ListParagraph"/>
        <w:numPr>
          <w:ilvl w:val="0"/>
          <w:numId w:val="1"/>
        </w:numPr>
        <w:tabs>
          <w:tab w:val="clear" w:pos="720"/>
          <w:tab w:val="left" w:pos="317" w:leader="none"/>
        </w:tabs>
        <w:spacing w:lineRule="auto" w:line="276"/>
        <w:ind w:left="475" w:right="389" w:hanging="358"/>
        <w:jc w:val="both"/>
        <w:rPr>
          <w:sz w:val="28"/>
          <w:szCs w:val="28"/>
        </w:rPr>
      </w:pPr>
      <w:r>
        <w:rPr>
          <w:sz w:val="28"/>
          <w:szCs w:val="28"/>
        </w:rPr>
        <w:t>«Познавательное развитие» (</w:t>
      </w:r>
      <w:r>
        <w:rPr>
          <w:sz w:val="28"/>
          <w:szCs w:val="28"/>
          <w:u w:val="single"/>
        </w:rPr>
        <w:t>Веракса Н. Е ,Куцакова Л. В.,Помораева И. А,Дыбина</w:t>
      </w:r>
      <w:r>
        <w:rPr>
          <w:spacing w:val="-67"/>
          <w:sz w:val="28"/>
          <w:szCs w:val="28"/>
        </w:rPr>
        <w:t xml:space="preserve"> </w:t>
      </w:r>
      <w:r>
        <w:rPr>
          <w:sz w:val="28"/>
          <w:szCs w:val="28"/>
          <w:u w:val="single"/>
        </w:rPr>
        <w:t>О.</w:t>
      </w:r>
      <w:r>
        <w:rPr>
          <w:sz w:val="28"/>
          <w:szCs w:val="28"/>
        </w:rPr>
        <w:t xml:space="preserve"> </w:t>
      </w:r>
      <w:r>
        <w:rPr>
          <w:sz w:val="28"/>
          <w:szCs w:val="28"/>
          <w:u w:val="single"/>
        </w:rPr>
        <w:t>Б</w:t>
      </w:r>
      <w:r>
        <w:rPr>
          <w:spacing w:val="-4"/>
          <w:sz w:val="28"/>
          <w:szCs w:val="28"/>
        </w:rPr>
        <w:t xml:space="preserve"> </w:t>
      </w:r>
      <w:r>
        <w:rPr>
          <w:sz w:val="28"/>
          <w:szCs w:val="28"/>
        </w:rPr>
        <w:t>).</w:t>
      </w:r>
    </w:p>
    <w:p>
      <w:pPr>
        <w:pStyle w:val="ListParagraph"/>
        <w:numPr>
          <w:ilvl w:val="0"/>
          <w:numId w:val="1"/>
        </w:numPr>
        <w:tabs>
          <w:tab w:val="clear" w:pos="720"/>
          <w:tab w:val="left" w:pos="317" w:leader="none"/>
        </w:tabs>
        <w:spacing w:lineRule="auto" w:line="276"/>
        <w:ind w:left="475" w:right="1311" w:hanging="358"/>
        <w:jc w:val="both"/>
        <w:rPr>
          <w:sz w:val="28"/>
          <w:szCs w:val="28"/>
        </w:rPr>
      </w:pPr>
      <w:r>
        <w:rPr>
          <w:sz w:val="28"/>
          <w:szCs w:val="28"/>
        </w:rPr>
        <w:t>«Социально – коммуникативное развитие» (</w:t>
      </w:r>
      <w:r>
        <w:rPr>
          <w:sz w:val="28"/>
          <w:szCs w:val="28"/>
          <w:u w:val="single"/>
        </w:rPr>
        <w:t>Губанова Н. Ф. Петрова В. И.,</w:t>
      </w:r>
      <w:r>
        <w:rPr>
          <w:spacing w:val="1"/>
          <w:sz w:val="28"/>
          <w:szCs w:val="28"/>
        </w:rPr>
        <w:t xml:space="preserve"> </w:t>
      </w:r>
      <w:r>
        <w:rPr>
          <w:sz w:val="28"/>
          <w:szCs w:val="28"/>
          <w:u w:val="single"/>
        </w:rPr>
        <w:t>Стульник Т.Д.,Куцакова Л. В.Комарова Т. С, Павлова Л. Ю.</w:t>
      </w:r>
      <w:r>
        <w:rPr>
          <w:sz w:val="28"/>
          <w:szCs w:val="28"/>
        </w:rPr>
        <w:t xml:space="preserve"> Н.Н.Авдеева,</w:t>
      </w:r>
      <w:r>
        <w:rPr>
          <w:spacing w:val="-67"/>
          <w:sz w:val="28"/>
          <w:szCs w:val="28"/>
        </w:rPr>
        <w:t xml:space="preserve"> </w:t>
      </w:r>
      <w:r>
        <w:rPr>
          <w:sz w:val="28"/>
          <w:szCs w:val="28"/>
        </w:rPr>
        <w:t>О.Л.Князева,</w:t>
      </w:r>
      <w:r>
        <w:rPr>
          <w:spacing w:val="-1"/>
          <w:sz w:val="28"/>
          <w:szCs w:val="28"/>
        </w:rPr>
        <w:t xml:space="preserve"> </w:t>
      </w:r>
      <w:r>
        <w:rPr>
          <w:sz w:val="28"/>
          <w:szCs w:val="28"/>
        </w:rPr>
        <w:t>Р.Б.Стеркина</w:t>
      </w:r>
      <w:r>
        <w:rPr>
          <w:sz w:val="28"/>
          <w:szCs w:val="28"/>
          <w:u w:val="single"/>
        </w:rPr>
        <w:t>)</w:t>
      </w:r>
    </w:p>
    <w:p>
      <w:pPr>
        <w:pStyle w:val="ListParagraph"/>
        <w:numPr>
          <w:ilvl w:val="0"/>
          <w:numId w:val="1"/>
        </w:numPr>
        <w:tabs>
          <w:tab w:val="clear" w:pos="720"/>
          <w:tab w:val="left" w:pos="317" w:leader="none"/>
        </w:tabs>
        <w:spacing w:lineRule="auto" w:line="276"/>
        <w:ind w:left="475" w:right="1632" w:hanging="358"/>
        <w:jc w:val="both"/>
        <w:rPr>
          <w:sz w:val="28"/>
          <w:szCs w:val="28"/>
        </w:rPr>
      </w:pPr>
      <w:r>
        <w:rPr>
          <w:sz w:val="28"/>
          <w:szCs w:val="28"/>
        </w:rPr>
        <w:t>«Художественно – эстетическое развитие» (</w:t>
      </w:r>
      <w:r>
        <w:rPr>
          <w:sz w:val="28"/>
          <w:szCs w:val="28"/>
          <w:u w:val="single"/>
        </w:rPr>
        <w:t>Баранова Е, В., Савельева А.</w:t>
      </w:r>
      <w:r>
        <w:rPr>
          <w:spacing w:val="-67"/>
          <w:sz w:val="28"/>
          <w:szCs w:val="28"/>
        </w:rPr>
        <w:t xml:space="preserve"> </w:t>
      </w:r>
      <w:r>
        <w:rPr>
          <w:sz w:val="28"/>
          <w:szCs w:val="28"/>
          <w:u w:val="single"/>
        </w:rPr>
        <w:t>М.,Комарова</w:t>
      </w:r>
      <w:r>
        <w:rPr>
          <w:spacing w:val="1"/>
          <w:sz w:val="28"/>
          <w:szCs w:val="28"/>
          <w:u w:val="single"/>
        </w:rPr>
        <w:t xml:space="preserve"> </w:t>
      </w:r>
      <w:r>
        <w:rPr>
          <w:sz w:val="28"/>
          <w:szCs w:val="28"/>
          <w:u w:val="single"/>
        </w:rPr>
        <w:t>Т.</w:t>
      </w:r>
      <w:r>
        <w:rPr>
          <w:spacing w:val="-2"/>
          <w:sz w:val="28"/>
          <w:szCs w:val="28"/>
          <w:u w:val="single"/>
        </w:rPr>
        <w:t xml:space="preserve"> </w:t>
      </w:r>
      <w:r>
        <w:rPr>
          <w:sz w:val="28"/>
          <w:szCs w:val="28"/>
          <w:u w:val="single"/>
        </w:rPr>
        <w:t>С.</w:t>
      </w:r>
      <w:r>
        <w:rPr>
          <w:sz w:val="28"/>
          <w:szCs w:val="28"/>
        </w:rPr>
        <w:t>Зацепина</w:t>
      </w:r>
      <w:r>
        <w:rPr>
          <w:spacing w:val="8"/>
          <w:sz w:val="28"/>
          <w:szCs w:val="28"/>
        </w:rPr>
        <w:t xml:space="preserve"> </w:t>
      </w:r>
      <w:r>
        <w:rPr>
          <w:sz w:val="28"/>
          <w:szCs w:val="28"/>
        </w:rPr>
        <w:t>М.</w:t>
      </w:r>
      <w:r>
        <w:rPr>
          <w:spacing w:val="11"/>
          <w:sz w:val="28"/>
          <w:szCs w:val="28"/>
        </w:rPr>
        <w:t xml:space="preserve"> </w:t>
      </w:r>
      <w:r>
        <w:rPr>
          <w:sz w:val="28"/>
          <w:szCs w:val="28"/>
        </w:rPr>
        <w:t>Б.).</w:t>
      </w:r>
    </w:p>
    <w:p>
      <w:pPr>
        <w:pStyle w:val="ListParagraph"/>
        <w:numPr>
          <w:ilvl w:val="0"/>
          <w:numId w:val="1"/>
        </w:numPr>
        <w:tabs>
          <w:tab w:val="clear" w:pos="720"/>
          <w:tab w:val="left" w:pos="317" w:leader="none"/>
        </w:tabs>
        <w:spacing w:lineRule="auto" w:line="276"/>
        <w:ind w:left="475" w:right="1413" w:hanging="358"/>
        <w:jc w:val="both"/>
        <w:rPr>
          <w:sz w:val="28"/>
          <w:szCs w:val="28"/>
        </w:rPr>
      </w:pPr>
      <w:r>
        <w:rPr>
          <w:sz w:val="28"/>
          <w:szCs w:val="28"/>
        </w:rPr>
        <w:t>«Физическое развитие» (Пензулаева Л. И.Степаненкова Э. Я. Т.И.Бабаева,</w:t>
      </w:r>
      <w:r>
        <w:rPr>
          <w:spacing w:val="-67"/>
          <w:sz w:val="28"/>
          <w:szCs w:val="28"/>
        </w:rPr>
        <w:t xml:space="preserve"> </w:t>
      </w:r>
      <w:r>
        <w:rPr>
          <w:sz w:val="28"/>
          <w:szCs w:val="28"/>
        </w:rPr>
        <w:t>Н.А.Ноткина,</w:t>
      </w:r>
      <w:r>
        <w:rPr>
          <w:spacing w:val="-1"/>
          <w:sz w:val="28"/>
          <w:szCs w:val="28"/>
        </w:rPr>
        <w:t xml:space="preserve"> </w:t>
      </w:r>
      <w:r>
        <w:rPr>
          <w:sz w:val="28"/>
          <w:szCs w:val="28"/>
        </w:rPr>
        <w:t>Новикова И.</w:t>
      </w:r>
      <w:r>
        <w:rPr>
          <w:spacing w:val="-3"/>
          <w:sz w:val="28"/>
          <w:szCs w:val="28"/>
        </w:rPr>
        <w:t xml:space="preserve"> </w:t>
      </w:r>
      <w:r>
        <w:rPr>
          <w:sz w:val="28"/>
          <w:szCs w:val="28"/>
        </w:rPr>
        <w:t>М).</w:t>
      </w:r>
    </w:p>
    <w:p>
      <w:pPr>
        <w:pStyle w:val="Style14"/>
        <w:spacing w:lineRule="auto" w:line="276" w:before="9" w:after="0"/>
        <w:jc w:val="both"/>
        <w:rPr>
          <w:sz w:val="28"/>
          <w:szCs w:val="28"/>
        </w:rPr>
      </w:pPr>
      <w:r>
        <w:rPr>
          <w:sz w:val="28"/>
          <w:szCs w:val="28"/>
        </w:rPr>
      </w:r>
    </w:p>
    <w:p>
      <w:pPr>
        <w:pStyle w:val="Normal"/>
        <w:spacing w:lineRule="auto" w:line="276"/>
        <w:ind w:left="475" w:hanging="0"/>
        <w:jc w:val="both"/>
        <w:rPr>
          <w:sz w:val="28"/>
          <w:szCs w:val="28"/>
        </w:rPr>
      </w:pPr>
      <w:r>
        <w:rPr>
          <w:b/>
          <w:sz w:val="28"/>
          <w:szCs w:val="28"/>
        </w:rPr>
        <w:t>Педагогическая</w:t>
      </w:r>
      <w:r>
        <w:rPr>
          <w:b/>
          <w:spacing w:val="-2"/>
          <w:sz w:val="28"/>
          <w:szCs w:val="28"/>
        </w:rPr>
        <w:t xml:space="preserve"> </w:t>
      </w:r>
      <w:r>
        <w:rPr>
          <w:b/>
          <w:sz w:val="28"/>
          <w:szCs w:val="28"/>
        </w:rPr>
        <w:t>диагностика</w:t>
      </w:r>
      <w:r>
        <w:rPr>
          <w:b/>
          <w:spacing w:val="-5"/>
          <w:sz w:val="28"/>
          <w:szCs w:val="28"/>
        </w:rPr>
        <w:t xml:space="preserve"> </w:t>
      </w:r>
      <w:r>
        <w:rPr>
          <w:sz w:val="28"/>
          <w:szCs w:val="28"/>
        </w:rPr>
        <w:t>проводится</w:t>
      </w:r>
      <w:r>
        <w:rPr>
          <w:spacing w:val="-1"/>
          <w:sz w:val="28"/>
          <w:szCs w:val="28"/>
        </w:rPr>
        <w:t xml:space="preserve"> </w:t>
      </w:r>
      <w:r>
        <w:rPr>
          <w:sz w:val="28"/>
          <w:szCs w:val="28"/>
        </w:rPr>
        <w:t>на</w:t>
      </w:r>
      <w:r>
        <w:rPr>
          <w:spacing w:val="-2"/>
          <w:sz w:val="28"/>
          <w:szCs w:val="28"/>
        </w:rPr>
        <w:t xml:space="preserve"> </w:t>
      </w:r>
      <w:r>
        <w:rPr>
          <w:sz w:val="28"/>
          <w:szCs w:val="28"/>
        </w:rPr>
        <w:t>основе:</w:t>
      </w:r>
    </w:p>
    <w:p>
      <w:pPr>
        <w:pStyle w:val="ListParagraph"/>
        <w:numPr>
          <w:ilvl w:val="1"/>
          <w:numId w:val="1"/>
        </w:numPr>
        <w:tabs>
          <w:tab w:val="clear" w:pos="720"/>
          <w:tab w:val="left" w:pos="639" w:leader="none"/>
        </w:tabs>
        <w:spacing w:lineRule="auto" w:line="276"/>
        <w:jc w:val="both"/>
        <w:rPr>
          <w:sz w:val="28"/>
          <w:szCs w:val="28"/>
        </w:rPr>
      </w:pPr>
      <w:r>
        <w:rPr>
          <w:sz w:val="28"/>
          <w:szCs w:val="28"/>
        </w:rPr>
        <w:t>наблюдения</w:t>
      </w:r>
      <w:r>
        <w:rPr>
          <w:spacing w:val="-2"/>
          <w:sz w:val="28"/>
          <w:szCs w:val="28"/>
        </w:rPr>
        <w:t xml:space="preserve"> </w:t>
      </w:r>
      <w:r>
        <w:rPr>
          <w:sz w:val="28"/>
          <w:szCs w:val="28"/>
        </w:rPr>
        <w:t>за</w:t>
      </w:r>
      <w:r>
        <w:rPr>
          <w:spacing w:val="-6"/>
          <w:sz w:val="28"/>
          <w:szCs w:val="28"/>
        </w:rPr>
        <w:t xml:space="preserve"> </w:t>
      </w:r>
      <w:r>
        <w:rPr>
          <w:sz w:val="28"/>
          <w:szCs w:val="28"/>
        </w:rPr>
        <w:t>ребенком,</w:t>
      </w:r>
    </w:p>
    <w:p>
      <w:pPr>
        <w:pStyle w:val="ListParagraph"/>
        <w:numPr>
          <w:ilvl w:val="1"/>
          <w:numId w:val="1"/>
        </w:numPr>
        <w:tabs>
          <w:tab w:val="clear" w:pos="720"/>
          <w:tab w:val="left" w:pos="639" w:leader="none"/>
        </w:tabs>
        <w:spacing w:lineRule="auto" w:line="276" w:before="2" w:after="0"/>
        <w:jc w:val="both"/>
        <w:rPr>
          <w:sz w:val="28"/>
          <w:szCs w:val="28"/>
        </w:rPr>
      </w:pPr>
      <w:r>
        <w:rPr>
          <w:sz w:val="28"/>
          <w:szCs w:val="28"/>
        </w:rPr>
        <w:t>беседы,</w:t>
      </w:r>
    </w:p>
    <w:p>
      <w:pPr>
        <w:pStyle w:val="ListParagraph"/>
        <w:numPr>
          <w:ilvl w:val="1"/>
          <w:numId w:val="1"/>
        </w:numPr>
        <w:tabs>
          <w:tab w:val="clear" w:pos="720"/>
          <w:tab w:val="left" w:pos="639" w:leader="none"/>
        </w:tabs>
        <w:spacing w:lineRule="auto" w:line="276"/>
        <w:jc w:val="both"/>
        <w:rPr>
          <w:sz w:val="28"/>
          <w:szCs w:val="28"/>
        </w:rPr>
      </w:pPr>
      <w:r>
        <w:rPr>
          <w:sz w:val="28"/>
          <w:szCs w:val="28"/>
        </w:rPr>
        <w:t>анализа</w:t>
      </w:r>
      <w:r>
        <w:rPr>
          <w:spacing w:val="-1"/>
          <w:sz w:val="28"/>
          <w:szCs w:val="28"/>
        </w:rPr>
        <w:t xml:space="preserve"> </w:t>
      </w:r>
      <w:r>
        <w:rPr>
          <w:sz w:val="28"/>
          <w:szCs w:val="28"/>
        </w:rPr>
        <w:t>продуктов</w:t>
      </w:r>
      <w:r>
        <w:rPr>
          <w:spacing w:val="-1"/>
          <w:sz w:val="28"/>
          <w:szCs w:val="28"/>
        </w:rPr>
        <w:t xml:space="preserve"> </w:t>
      </w:r>
      <w:r>
        <w:rPr>
          <w:sz w:val="28"/>
          <w:szCs w:val="28"/>
        </w:rPr>
        <w:t>детской</w:t>
      </w:r>
      <w:r>
        <w:rPr>
          <w:spacing w:val="-1"/>
          <w:sz w:val="28"/>
          <w:szCs w:val="28"/>
        </w:rPr>
        <w:t xml:space="preserve"> </w:t>
      </w:r>
      <w:r>
        <w:rPr>
          <w:sz w:val="28"/>
          <w:szCs w:val="28"/>
        </w:rPr>
        <w:t>деятельности,</w:t>
      </w:r>
    </w:p>
    <w:p>
      <w:pPr>
        <w:pStyle w:val="ListParagraph"/>
        <w:numPr>
          <w:ilvl w:val="1"/>
          <w:numId w:val="1"/>
        </w:numPr>
        <w:tabs>
          <w:tab w:val="clear" w:pos="720"/>
          <w:tab w:val="left" w:pos="639" w:leader="none"/>
        </w:tabs>
        <w:spacing w:lineRule="auto" w:line="276"/>
        <w:jc w:val="both"/>
        <w:rPr>
          <w:sz w:val="28"/>
          <w:szCs w:val="28"/>
        </w:rPr>
      </w:pPr>
      <w:r>
        <w:rPr>
          <w:sz w:val="28"/>
          <w:szCs w:val="28"/>
        </w:rPr>
        <w:t>критериально-диагностических</w:t>
      </w:r>
      <w:r>
        <w:rPr>
          <w:spacing w:val="-6"/>
          <w:sz w:val="28"/>
          <w:szCs w:val="28"/>
        </w:rPr>
        <w:t xml:space="preserve"> </w:t>
      </w:r>
      <w:r>
        <w:rPr>
          <w:sz w:val="28"/>
          <w:szCs w:val="28"/>
        </w:rPr>
        <w:t>методик.</w:t>
      </w:r>
    </w:p>
    <w:p>
      <w:pPr>
        <w:pStyle w:val="ListParagraph"/>
        <w:tabs>
          <w:tab w:val="clear" w:pos="720"/>
          <w:tab w:val="left" w:pos="639" w:leader="none"/>
        </w:tabs>
        <w:spacing w:lineRule="auto" w:line="276"/>
        <w:ind w:left="638" w:hanging="0"/>
        <w:jc w:val="both"/>
        <w:rPr>
          <w:sz w:val="28"/>
          <w:szCs w:val="28"/>
        </w:rPr>
      </w:pPr>
      <w:r>
        <w:rPr>
          <w:sz w:val="28"/>
          <w:szCs w:val="28"/>
        </w:rPr>
      </w:r>
    </w:p>
    <w:p>
      <w:pPr>
        <w:pStyle w:val="Normal"/>
        <w:widowControl/>
        <w:spacing w:lineRule="auto" w:line="276" w:before="0" w:after="200"/>
        <w:jc w:val="both"/>
        <w:rPr>
          <w:rFonts w:eastAsia="Calibri"/>
          <w:b/>
          <w:b/>
          <w:sz w:val="28"/>
          <w:szCs w:val="28"/>
        </w:rPr>
      </w:pPr>
      <w:r>
        <w:rPr>
          <w:rFonts w:eastAsia="Calibri"/>
          <w:b/>
          <w:sz w:val="28"/>
          <w:szCs w:val="28"/>
        </w:rPr>
      </w:r>
    </w:p>
    <w:p>
      <w:pPr>
        <w:pStyle w:val="Normal"/>
        <w:widowControl/>
        <w:spacing w:lineRule="auto" w:line="276" w:before="0" w:after="200"/>
        <w:jc w:val="both"/>
        <w:rPr>
          <w:rFonts w:eastAsia="Calibri"/>
          <w:b/>
          <w:b/>
          <w:sz w:val="28"/>
          <w:szCs w:val="28"/>
        </w:rPr>
      </w:pPr>
      <w:r>
        <w:rPr>
          <w:rFonts w:eastAsia="Calibri"/>
          <w:b/>
          <w:sz w:val="28"/>
          <w:szCs w:val="28"/>
        </w:rPr>
      </w:r>
    </w:p>
    <w:p>
      <w:pPr>
        <w:pStyle w:val="Normal"/>
        <w:widowControl/>
        <w:spacing w:lineRule="auto" w:line="276" w:before="0" w:after="200"/>
        <w:jc w:val="center"/>
        <w:rPr>
          <w:rFonts w:eastAsia="Calibri"/>
          <w:b/>
          <w:b/>
          <w:sz w:val="28"/>
          <w:szCs w:val="28"/>
        </w:rPr>
      </w:pPr>
      <w:r>
        <w:rPr>
          <w:rFonts w:eastAsia="Calibri"/>
          <w:b/>
          <w:sz w:val="28"/>
          <w:szCs w:val="28"/>
        </w:rPr>
        <w:t>Результаты освоения воспитанниками основной образовательной программы</w:t>
      </w:r>
    </w:p>
    <w:p>
      <w:pPr>
        <w:pStyle w:val="Normal"/>
        <w:widowControl/>
        <w:spacing w:lineRule="auto" w:line="276" w:before="0" w:after="200"/>
        <w:jc w:val="center"/>
        <w:rPr>
          <w:rFonts w:eastAsia="Calibri"/>
          <w:b/>
          <w:b/>
          <w:sz w:val="28"/>
          <w:szCs w:val="28"/>
        </w:rPr>
      </w:pPr>
      <w:r>
        <w:rPr>
          <w:rFonts w:eastAsia="Calibri"/>
          <w:b/>
          <w:sz w:val="28"/>
          <w:szCs w:val="28"/>
        </w:rPr>
        <w:t>за 2020 -2021 учебный год</w:t>
      </w:r>
    </w:p>
    <w:p>
      <w:pPr>
        <w:pStyle w:val="Normal"/>
        <w:widowControl/>
        <w:spacing w:lineRule="auto" w:line="276" w:before="0" w:after="200"/>
        <w:jc w:val="both"/>
        <w:rPr>
          <w:rFonts w:eastAsia="Calibri"/>
          <w:b/>
          <w:b/>
          <w:sz w:val="28"/>
          <w:szCs w:val="28"/>
        </w:rPr>
      </w:pPr>
      <w:r>
        <w:rPr>
          <w:rFonts w:eastAsia="Calibri"/>
          <w:b/>
          <w:sz w:val="28"/>
          <w:szCs w:val="28"/>
        </w:rPr>
        <w:t xml:space="preserve"> </w:t>
      </w:r>
      <w:r>
        <w:rPr>
          <w:rFonts w:eastAsia="Calibri"/>
          <w:b/>
          <w:sz w:val="28"/>
          <w:szCs w:val="28"/>
        </w:rPr>
        <w:t>Образовательная область «Познавательное развитие»</w:t>
      </w:r>
    </w:p>
    <w:p>
      <w:pPr>
        <w:pStyle w:val="Normal"/>
        <w:widowControl/>
        <w:spacing w:lineRule="auto" w:line="276"/>
        <w:jc w:val="both"/>
        <w:rPr>
          <w:rFonts w:eastAsia="Calibri"/>
          <w:sz w:val="28"/>
          <w:szCs w:val="28"/>
        </w:rPr>
      </w:pPr>
      <w:r>
        <w:rPr>
          <w:rFonts w:eastAsia="Calibri"/>
          <w:sz w:val="28"/>
          <w:szCs w:val="28"/>
        </w:rPr>
        <w:t>На начало учебного года знание детей составило – 53%</w:t>
      </w:r>
    </w:p>
    <w:p>
      <w:pPr>
        <w:pStyle w:val="Normal"/>
        <w:widowControl/>
        <w:spacing w:lineRule="auto" w:line="276"/>
        <w:jc w:val="both"/>
        <w:rPr>
          <w:rFonts w:eastAsia="Calibri"/>
          <w:sz w:val="28"/>
          <w:szCs w:val="28"/>
        </w:rPr>
      </w:pPr>
      <w:r>
        <w:rPr>
          <w:rFonts w:eastAsia="Calibri"/>
          <w:sz w:val="28"/>
          <w:szCs w:val="28"/>
        </w:rPr>
        <w:t>На конец года – 70%</w:t>
      </w:r>
    </w:p>
    <w:p>
      <w:pPr>
        <w:pStyle w:val="Normal"/>
        <w:widowControl/>
        <w:spacing w:lineRule="auto" w:line="276"/>
        <w:jc w:val="both"/>
        <w:rPr>
          <w:rFonts w:eastAsia="Calibri"/>
          <w:sz w:val="28"/>
          <w:szCs w:val="28"/>
        </w:rPr>
      </w:pPr>
      <w:r>
        <w:rPr>
          <w:rFonts w:eastAsia="Calibri"/>
          <w:sz w:val="28"/>
          <w:szCs w:val="28"/>
        </w:rPr>
        <w:t>Высокий уровень – 3%</w:t>
      </w:r>
    </w:p>
    <w:p>
      <w:pPr>
        <w:pStyle w:val="Normal"/>
        <w:widowControl/>
        <w:spacing w:lineRule="auto" w:line="276"/>
        <w:jc w:val="both"/>
        <w:rPr>
          <w:rFonts w:eastAsia="Calibri"/>
          <w:sz w:val="28"/>
          <w:szCs w:val="28"/>
        </w:rPr>
      </w:pPr>
      <w:r>
        <w:rPr>
          <w:rFonts w:eastAsia="Calibri"/>
          <w:sz w:val="28"/>
          <w:szCs w:val="28"/>
        </w:rPr>
        <w:t>Средний уровень – 67%</w:t>
      </w:r>
    </w:p>
    <w:p>
      <w:pPr>
        <w:pStyle w:val="Normal"/>
        <w:widowControl/>
        <w:spacing w:lineRule="auto" w:line="276"/>
        <w:jc w:val="both"/>
        <w:rPr>
          <w:rFonts w:eastAsia="Calibri"/>
          <w:sz w:val="28"/>
          <w:szCs w:val="28"/>
        </w:rPr>
      </w:pPr>
      <w:r>
        <w:rPr>
          <w:rFonts w:eastAsia="Calibri"/>
          <w:sz w:val="28"/>
          <w:szCs w:val="28"/>
        </w:rPr>
        <w:t>Низкий уровень – 30%</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before="0" w:after="200"/>
        <w:jc w:val="both"/>
        <w:rPr>
          <w:rFonts w:eastAsia="Calibri"/>
          <w:b/>
          <w:b/>
          <w:sz w:val="28"/>
          <w:szCs w:val="28"/>
        </w:rPr>
      </w:pPr>
      <w:r>
        <w:rPr/>
        <w:drawing>
          <wp:inline distT="0" distB="0" distL="0" distR="0">
            <wp:extent cx="2879090" cy="1858010"/>
            <wp:effectExtent l="0" t="0" r="0" b="0"/>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Pr>
          <w:rFonts w:eastAsia="Calibri"/>
          <w:b/>
          <w:sz w:val="28"/>
          <w:szCs w:val="28"/>
        </w:rPr>
        <w:t xml:space="preserve">           </w:t>
      </w:r>
      <w:r>
        <w:rPr/>
        <w:drawing>
          <wp:inline distT="0" distB="0" distL="0" distR="0">
            <wp:extent cx="2626360" cy="1858010"/>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pStyle w:val="Normal"/>
        <w:widowControl/>
        <w:spacing w:lineRule="auto" w:line="276"/>
        <w:jc w:val="both"/>
        <w:rPr>
          <w:rFonts w:eastAsia="Calibri"/>
          <w:sz w:val="28"/>
          <w:szCs w:val="28"/>
        </w:rPr>
      </w:pPr>
      <w:r>
        <w:rPr>
          <w:rFonts w:eastAsia="Calibri"/>
          <w:b/>
          <w:sz w:val="28"/>
          <w:szCs w:val="28"/>
        </w:rPr>
        <w:t xml:space="preserve">Вывод: </w:t>
      </w:r>
      <w:r>
        <w:rPr>
          <w:rFonts w:eastAsia="Calibri"/>
          <w:sz w:val="28"/>
          <w:szCs w:val="28"/>
        </w:rPr>
        <w:t>Дети овладели необходимыми знаниями, умениями и навыками. Ребята научились группировать предметы по цвету, размеру, форме. Различают количество предметов (один и много), большие и маленькие предметы, называют их размер. Знают и называют геометрические фигуры(квадрат, круг, овал, треугольник, прямоугольник). Освоили счет до 5 и могут соотнести количество предметов с цифрой. Знают и называют диких и домашних животных, их детенышей. Различают и называют фрукты и овощи. Знают времена года, могут назвать признаки времен года. Имеют элементарные представления о природных сезонных явлениях.</w:t>
      </w:r>
    </w:p>
    <w:p>
      <w:pPr>
        <w:pStyle w:val="Normal"/>
        <w:widowControl/>
        <w:spacing w:lineRule="auto" w:line="276"/>
        <w:jc w:val="both"/>
        <w:rPr>
          <w:rFonts w:eastAsia="Calibri"/>
          <w:sz w:val="28"/>
          <w:szCs w:val="28"/>
        </w:rPr>
      </w:pPr>
      <w:r>
        <w:rPr>
          <w:rFonts w:eastAsia="Calibri"/>
          <w:b/>
          <w:sz w:val="28"/>
          <w:szCs w:val="28"/>
        </w:rPr>
        <w:t xml:space="preserve">Рекомендации: </w:t>
      </w:r>
      <w:r>
        <w:rPr>
          <w:rFonts w:eastAsia="Calibri"/>
          <w:sz w:val="28"/>
          <w:szCs w:val="28"/>
        </w:rPr>
        <w:t>Продолжать закреплять навыки исследовательской деятельности, использовать экологические навыки, совершенствовать математические представления. Проводить</w:t>
      </w:r>
      <w:r>
        <w:rPr>
          <w:rFonts w:eastAsia="Calibri"/>
          <w:b/>
          <w:sz w:val="28"/>
          <w:szCs w:val="28"/>
        </w:rPr>
        <w:t xml:space="preserve"> </w:t>
      </w:r>
      <w:r>
        <w:rPr>
          <w:rFonts w:eastAsia="Calibri"/>
          <w:sz w:val="28"/>
          <w:szCs w:val="28"/>
        </w:rPr>
        <w:t>индивидуальную</w:t>
      </w:r>
      <w:r>
        <w:rPr>
          <w:rFonts w:eastAsia="Calibri"/>
          <w:b/>
          <w:sz w:val="28"/>
          <w:szCs w:val="28"/>
        </w:rPr>
        <w:t xml:space="preserve"> </w:t>
      </w:r>
      <w:r>
        <w:rPr>
          <w:rFonts w:eastAsia="Calibri"/>
          <w:sz w:val="28"/>
          <w:szCs w:val="28"/>
        </w:rPr>
        <w:t>работу, используя дидактические игры, продолжать пополнять развивающую среду, создавать альбомы с изображениями окружающего мира для свободного доступа. Продолжать создавать условия для экспериментально – исследовательской деятельности, которая способствует формированию у детей познавательного интереса, развивает мыслительную деятельность, развивает наблюдательность. Поддерживать детскую инициативу.</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before="0" w:after="200"/>
        <w:jc w:val="both"/>
        <w:rPr>
          <w:rFonts w:eastAsia="Calibri"/>
          <w:b/>
          <w:b/>
          <w:sz w:val="28"/>
          <w:szCs w:val="28"/>
        </w:rPr>
      </w:pPr>
      <w:r>
        <w:rPr>
          <w:rFonts w:eastAsia="Calibri"/>
          <w:b/>
          <w:sz w:val="28"/>
          <w:szCs w:val="28"/>
        </w:rPr>
        <w:t>Образовательная область Речевое развитие.</w:t>
      </w:r>
    </w:p>
    <w:p>
      <w:pPr>
        <w:pStyle w:val="Normal"/>
        <w:widowControl/>
        <w:spacing w:lineRule="auto" w:line="276"/>
        <w:jc w:val="both"/>
        <w:rPr>
          <w:rFonts w:eastAsia="Calibri"/>
          <w:sz w:val="28"/>
          <w:szCs w:val="28"/>
        </w:rPr>
      </w:pPr>
      <w:r>
        <w:rPr>
          <w:rFonts w:eastAsia="Calibri"/>
          <w:sz w:val="28"/>
          <w:szCs w:val="28"/>
        </w:rPr>
        <w:t>На начало учебного года знание детей составило – 42%</w:t>
      </w:r>
    </w:p>
    <w:p>
      <w:pPr>
        <w:pStyle w:val="Normal"/>
        <w:widowControl/>
        <w:spacing w:lineRule="auto" w:line="276"/>
        <w:jc w:val="both"/>
        <w:rPr>
          <w:rFonts w:eastAsia="Calibri"/>
          <w:sz w:val="28"/>
          <w:szCs w:val="28"/>
        </w:rPr>
      </w:pPr>
      <w:r>
        <w:rPr>
          <w:rFonts w:eastAsia="Calibri"/>
          <w:sz w:val="28"/>
          <w:szCs w:val="28"/>
        </w:rPr>
        <w:t>На конец года – 51%</w:t>
      </w:r>
    </w:p>
    <w:p>
      <w:pPr>
        <w:pStyle w:val="Normal"/>
        <w:widowControl/>
        <w:spacing w:lineRule="auto" w:line="276"/>
        <w:jc w:val="both"/>
        <w:rPr>
          <w:rFonts w:eastAsia="Calibri"/>
          <w:sz w:val="28"/>
          <w:szCs w:val="28"/>
        </w:rPr>
      </w:pPr>
      <w:r>
        <w:rPr>
          <w:rFonts w:eastAsia="Calibri"/>
          <w:sz w:val="28"/>
          <w:szCs w:val="28"/>
        </w:rPr>
        <w:t>Высокий уровень – 0%</w:t>
      </w:r>
    </w:p>
    <w:p>
      <w:pPr>
        <w:pStyle w:val="Normal"/>
        <w:widowControl/>
        <w:spacing w:lineRule="auto" w:line="276"/>
        <w:jc w:val="both"/>
        <w:rPr>
          <w:rFonts w:eastAsia="Calibri"/>
          <w:sz w:val="28"/>
          <w:szCs w:val="28"/>
        </w:rPr>
      </w:pPr>
      <w:r>
        <w:rPr>
          <w:rFonts w:eastAsia="Calibri"/>
          <w:sz w:val="28"/>
          <w:szCs w:val="28"/>
        </w:rPr>
        <w:t>Средний уровень – 51%</w:t>
      </w:r>
    </w:p>
    <w:p>
      <w:pPr>
        <w:pStyle w:val="Normal"/>
        <w:widowControl/>
        <w:spacing w:lineRule="auto" w:line="276"/>
        <w:jc w:val="both"/>
        <w:rPr>
          <w:rFonts w:eastAsia="Calibri"/>
          <w:sz w:val="28"/>
          <w:szCs w:val="28"/>
        </w:rPr>
      </w:pPr>
      <w:r>
        <w:rPr>
          <w:rFonts w:eastAsia="Calibri"/>
          <w:sz w:val="28"/>
          <w:szCs w:val="28"/>
        </w:rPr>
        <w:t>Низкий уровень – 49%</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before="0" w:after="200"/>
        <w:jc w:val="both"/>
        <w:rPr>
          <w:rFonts w:eastAsia="Calibri"/>
          <w:b/>
          <w:b/>
          <w:sz w:val="28"/>
          <w:szCs w:val="28"/>
        </w:rPr>
      </w:pPr>
      <w:r>
        <w:rPr/>
        <w:drawing>
          <wp:inline distT="0" distB="0" distL="0" distR="0">
            <wp:extent cx="2714625" cy="198120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rFonts w:eastAsia="Calibri"/>
          <w:b/>
          <w:sz w:val="28"/>
          <w:szCs w:val="28"/>
        </w:rPr>
        <w:t xml:space="preserve">           </w:t>
      </w:r>
      <w:r>
        <w:rPr/>
        <w:drawing>
          <wp:inline distT="0" distB="0" distL="0" distR="0">
            <wp:extent cx="2578100" cy="2042795"/>
            <wp:effectExtent l="0" t="0" r="0" b="0"/>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rFonts w:eastAsia="Calibri"/>
          <w:b/>
          <w:sz w:val="28"/>
          <w:szCs w:val="28"/>
        </w:rPr>
        <w:t xml:space="preserve"> </w:t>
      </w:r>
    </w:p>
    <w:p>
      <w:pPr>
        <w:pStyle w:val="Normal"/>
        <w:widowControl/>
        <w:spacing w:lineRule="auto" w:line="276"/>
        <w:jc w:val="both"/>
        <w:rPr>
          <w:rFonts w:eastAsia="Calibri"/>
          <w:sz w:val="28"/>
          <w:szCs w:val="28"/>
        </w:rPr>
      </w:pPr>
      <w:r>
        <w:rPr>
          <w:rFonts w:eastAsia="Calibri"/>
          <w:b/>
          <w:sz w:val="28"/>
          <w:szCs w:val="28"/>
        </w:rPr>
        <w:t xml:space="preserve">Вывод: </w:t>
      </w:r>
      <w:r>
        <w:rPr>
          <w:rFonts w:eastAsia="Calibri"/>
          <w:sz w:val="28"/>
          <w:szCs w:val="28"/>
        </w:rPr>
        <w:t>По данным мониторинга мы видим, что дети могут рассказать о содержании сюжетной картинки, в том числе по опорной схеме. Имеют предпочтение в литературных произведениях. При повторном чтении проговаривают слова, небольшие предложения, пересказывают рассказ своими словами, заучивают стихотворения, составляют рассказы по сюжетным картинам. Проявляют эмоциональную заинтересованность в драматизации знакомых сказок.</w:t>
      </w:r>
    </w:p>
    <w:p>
      <w:pPr>
        <w:pStyle w:val="Normal"/>
        <w:widowControl/>
        <w:spacing w:lineRule="auto" w:line="276"/>
        <w:jc w:val="both"/>
        <w:rPr>
          <w:rFonts w:eastAsia="Calibri"/>
          <w:sz w:val="28"/>
          <w:szCs w:val="28"/>
        </w:rPr>
      </w:pPr>
      <w:r>
        <w:rPr>
          <w:rFonts w:eastAsia="Calibri"/>
          <w:b/>
          <w:sz w:val="28"/>
          <w:szCs w:val="28"/>
        </w:rPr>
        <w:t>Рекомендации</w:t>
      </w:r>
      <w:r>
        <w:rPr>
          <w:rFonts w:eastAsia="Calibri"/>
          <w:sz w:val="28"/>
          <w:szCs w:val="28"/>
        </w:rPr>
        <w:t>: Продолжать расширять и развивать речевые навыки у детей. Планируется</w:t>
      </w:r>
      <w:r>
        <w:rPr>
          <w:rFonts w:eastAsia="Calibri"/>
          <w:b/>
          <w:sz w:val="28"/>
          <w:szCs w:val="28"/>
        </w:rPr>
        <w:t xml:space="preserve"> </w:t>
      </w:r>
      <w:r>
        <w:rPr>
          <w:rFonts w:eastAsia="Calibri"/>
          <w:sz w:val="28"/>
          <w:szCs w:val="28"/>
        </w:rPr>
        <w:t xml:space="preserve">проводить индивидуальные занятия с детьми по речевым заданиям, продолжать читать литературные произведения, применять дидактические игры, расширять знания о жанрах литературы, учить выразительно рассказывать стихи, составлять рассказы по сюжетным картинам. Обновлять детскую литературу в книжном уголке, опираясь на лексические темы и праздники календаря. </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before="0" w:after="200"/>
        <w:jc w:val="both"/>
        <w:rPr>
          <w:rFonts w:eastAsia="Calibri"/>
          <w:b/>
          <w:b/>
          <w:sz w:val="28"/>
          <w:szCs w:val="28"/>
        </w:rPr>
      </w:pPr>
      <w:r>
        <w:rPr>
          <w:rFonts w:eastAsia="Calibri"/>
          <w:b/>
          <w:sz w:val="28"/>
          <w:szCs w:val="28"/>
        </w:rPr>
        <w:t>Образовательная область «Социально – коммуникативное развитие»</w:t>
      </w:r>
    </w:p>
    <w:p>
      <w:pPr>
        <w:pStyle w:val="Normal"/>
        <w:widowControl/>
        <w:spacing w:lineRule="auto" w:line="276"/>
        <w:jc w:val="both"/>
        <w:rPr>
          <w:rFonts w:eastAsia="Calibri"/>
          <w:sz w:val="28"/>
          <w:szCs w:val="28"/>
        </w:rPr>
      </w:pPr>
      <w:r>
        <w:rPr>
          <w:rFonts w:eastAsia="Calibri"/>
          <w:sz w:val="28"/>
          <w:szCs w:val="28"/>
        </w:rPr>
        <w:t>На начало учебного года знание детей составило – 41%</w:t>
      </w:r>
    </w:p>
    <w:p>
      <w:pPr>
        <w:pStyle w:val="Normal"/>
        <w:widowControl/>
        <w:spacing w:lineRule="auto" w:line="276"/>
        <w:jc w:val="both"/>
        <w:rPr>
          <w:rFonts w:eastAsia="Calibri"/>
          <w:sz w:val="28"/>
          <w:szCs w:val="28"/>
        </w:rPr>
      </w:pPr>
      <w:r>
        <w:rPr>
          <w:rFonts w:eastAsia="Calibri"/>
          <w:sz w:val="28"/>
          <w:szCs w:val="28"/>
        </w:rPr>
        <w:t>На конец года – 47%</w:t>
      </w:r>
    </w:p>
    <w:p>
      <w:pPr>
        <w:pStyle w:val="Normal"/>
        <w:widowControl/>
        <w:spacing w:lineRule="auto" w:line="276"/>
        <w:jc w:val="both"/>
        <w:rPr>
          <w:rFonts w:eastAsia="Calibri"/>
          <w:sz w:val="28"/>
          <w:szCs w:val="28"/>
        </w:rPr>
      </w:pPr>
      <w:r>
        <w:rPr>
          <w:rFonts w:eastAsia="Calibri"/>
          <w:sz w:val="28"/>
          <w:szCs w:val="28"/>
        </w:rPr>
        <w:t>Высокий уровень – 6%</w:t>
      </w:r>
    </w:p>
    <w:p>
      <w:pPr>
        <w:pStyle w:val="Normal"/>
        <w:widowControl/>
        <w:spacing w:lineRule="auto" w:line="276"/>
        <w:jc w:val="both"/>
        <w:rPr>
          <w:rFonts w:eastAsia="Calibri"/>
          <w:sz w:val="28"/>
          <w:szCs w:val="28"/>
        </w:rPr>
      </w:pPr>
      <w:r>
        <w:rPr>
          <w:rFonts w:eastAsia="Calibri"/>
          <w:sz w:val="28"/>
          <w:szCs w:val="28"/>
        </w:rPr>
        <w:t>Средний уровень – 41%</w:t>
      </w:r>
    </w:p>
    <w:p>
      <w:pPr>
        <w:pStyle w:val="Normal"/>
        <w:widowControl/>
        <w:spacing w:lineRule="auto" w:line="276"/>
        <w:jc w:val="both"/>
        <w:rPr>
          <w:rFonts w:eastAsia="Calibri"/>
          <w:sz w:val="28"/>
          <w:szCs w:val="28"/>
        </w:rPr>
      </w:pPr>
      <w:r>
        <w:rPr>
          <w:rFonts w:eastAsia="Calibri"/>
          <w:sz w:val="28"/>
          <w:szCs w:val="28"/>
        </w:rPr>
        <w:t>Низкий уровень – 53%</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jc w:val="both"/>
        <w:rPr>
          <w:rFonts w:eastAsia="Calibri"/>
          <w:sz w:val="28"/>
          <w:szCs w:val="28"/>
        </w:rPr>
      </w:pPr>
      <w:r>
        <w:rPr/>
        <w:drawing>
          <wp:inline distT="0" distB="0" distL="0" distR="0">
            <wp:extent cx="2519680" cy="1993900"/>
            <wp:effectExtent l="0" t="0" r="0" b="0"/>
            <wp:docPr id="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eastAsia="Calibri"/>
          <w:sz w:val="28"/>
          <w:szCs w:val="28"/>
        </w:rPr>
        <w:t>…</w:t>
      </w:r>
      <w:r>
        <w:rPr/>
        <w:drawing>
          <wp:inline distT="0" distB="0" distL="0" distR="0">
            <wp:extent cx="2597150" cy="1993900"/>
            <wp:effectExtent l="0" t="0" r="0" b="0"/>
            <wp:docPr id="6"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before="0" w:after="200"/>
        <w:jc w:val="both"/>
        <w:rPr>
          <w:rFonts w:eastAsia="Calibri"/>
          <w:sz w:val="28"/>
          <w:szCs w:val="28"/>
        </w:rPr>
      </w:pPr>
      <w:r>
        <w:rPr>
          <w:rFonts w:eastAsia="Calibri"/>
          <w:b/>
          <w:sz w:val="28"/>
          <w:szCs w:val="28"/>
        </w:rPr>
        <w:t xml:space="preserve">Вывод: </w:t>
      </w:r>
      <w:r>
        <w:rPr>
          <w:rFonts w:eastAsia="Calibri"/>
          <w:sz w:val="28"/>
          <w:szCs w:val="28"/>
        </w:rPr>
        <w:t>Дети стараются соблюдать правила поведения в общественных местах, в общении с взрослыми  и сверстниками. Не все дети могут дать нравственную оценку своим и чужим поступкам, в том числе изображенным. Стараются договориться и принять роль в игре со сверстниками, стараются соблюдать ролевое поведение, проявляют инициативу в игре, могут поддерживать ролевые диалоги. Имеют представления о мужских и женских профессиях. Дети за девять месяцев овладели практическими умениями самостоятельно выполнять культурно – гигиенические процессы (культура еды, умывание). Научились самостоятельно замечать, когда необходимо вымыть руки, лицо, проявляют полную самостоятельность в самообслуживании, умеют заботиться о своем здоровье, чистоте тела и одежде. Дети научились выделять виды труда (уборка групповой комнаты, дежурство в уголке природы, готовить к занятиям рабочее место, а также после занятия все убрать за собой).</w:t>
      </w:r>
    </w:p>
    <w:p>
      <w:pPr>
        <w:pStyle w:val="Normal"/>
        <w:widowControl/>
        <w:spacing w:lineRule="auto" w:line="276" w:before="0" w:after="200"/>
        <w:jc w:val="both"/>
        <w:rPr>
          <w:rFonts w:eastAsia="Calibri"/>
          <w:b/>
          <w:b/>
          <w:sz w:val="28"/>
          <w:szCs w:val="28"/>
        </w:rPr>
      </w:pPr>
      <w:r>
        <w:rPr>
          <w:rFonts w:eastAsia="Calibri"/>
          <w:b/>
          <w:sz w:val="28"/>
          <w:szCs w:val="28"/>
        </w:rPr>
        <w:t>Рекомендации:</w:t>
      </w:r>
      <w:r>
        <w:rPr>
          <w:rFonts w:eastAsia="Calibri"/>
          <w:sz w:val="28"/>
          <w:szCs w:val="28"/>
        </w:rPr>
        <w:t xml:space="preserve"> В индивидуальной работе расширять знания детей о нравственно – духовном воспитании. Закреплять навыки самообслуживания, культурно – гигиенические и трудовые навыки.</w:t>
      </w:r>
    </w:p>
    <w:p>
      <w:pPr>
        <w:pStyle w:val="Normal"/>
        <w:widowControl/>
        <w:spacing w:lineRule="auto" w:line="276" w:before="0" w:after="200"/>
        <w:jc w:val="both"/>
        <w:rPr>
          <w:rFonts w:eastAsia="Calibri"/>
          <w:b/>
          <w:b/>
          <w:sz w:val="28"/>
          <w:szCs w:val="28"/>
        </w:rPr>
      </w:pPr>
      <w:r>
        <w:rPr>
          <w:rFonts w:eastAsia="Calibri"/>
          <w:b/>
          <w:sz w:val="28"/>
          <w:szCs w:val="28"/>
        </w:rPr>
        <w:t>Образовательная область «Физическое развитие»</w:t>
      </w:r>
    </w:p>
    <w:p>
      <w:pPr>
        <w:pStyle w:val="Normal"/>
        <w:widowControl/>
        <w:spacing w:lineRule="auto" w:line="276"/>
        <w:jc w:val="both"/>
        <w:rPr>
          <w:rFonts w:eastAsia="Calibri"/>
          <w:sz w:val="28"/>
          <w:szCs w:val="28"/>
        </w:rPr>
      </w:pPr>
      <w:r>
        <w:rPr>
          <w:rFonts w:eastAsia="Calibri"/>
          <w:sz w:val="28"/>
          <w:szCs w:val="28"/>
        </w:rPr>
        <w:t>На начало учебного года знание детей составило – 70%</w:t>
      </w:r>
    </w:p>
    <w:p>
      <w:pPr>
        <w:pStyle w:val="Normal"/>
        <w:widowControl/>
        <w:spacing w:lineRule="auto" w:line="276"/>
        <w:jc w:val="both"/>
        <w:rPr>
          <w:rFonts w:eastAsia="Calibri"/>
          <w:sz w:val="28"/>
          <w:szCs w:val="28"/>
        </w:rPr>
      </w:pPr>
      <w:r>
        <w:rPr>
          <w:rFonts w:eastAsia="Calibri"/>
          <w:sz w:val="28"/>
          <w:szCs w:val="28"/>
        </w:rPr>
        <w:t>На конец года –77%</w:t>
      </w:r>
    </w:p>
    <w:p>
      <w:pPr>
        <w:pStyle w:val="Normal"/>
        <w:widowControl/>
        <w:spacing w:lineRule="auto" w:line="276"/>
        <w:jc w:val="both"/>
        <w:rPr>
          <w:rFonts w:eastAsia="Calibri"/>
          <w:sz w:val="28"/>
          <w:szCs w:val="28"/>
        </w:rPr>
      </w:pPr>
      <w:r>
        <w:rPr>
          <w:rFonts w:eastAsia="Calibri"/>
          <w:sz w:val="28"/>
          <w:szCs w:val="28"/>
        </w:rPr>
        <w:t>Высокий уровень –10%</w:t>
      </w:r>
    </w:p>
    <w:p>
      <w:pPr>
        <w:pStyle w:val="Normal"/>
        <w:widowControl/>
        <w:spacing w:lineRule="auto" w:line="276"/>
        <w:jc w:val="both"/>
        <w:rPr>
          <w:rFonts w:eastAsia="Calibri"/>
          <w:sz w:val="28"/>
          <w:szCs w:val="28"/>
        </w:rPr>
      </w:pPr>
      <w:r>
        <w:rPr>
          <w:rFonts w:eastAsia="Calibri"/>
          <w:sz w:val="28"/>
          <w:szCs w:val="28"/>
        </w:rPr>
        <w:t>Средний уровень – 59%</w:t>
      </w:r>
    </w:p>
    <w:p>
      <w:pPr>
        <w:pStyle w:val="Normal"/>
        <w:widowControl/>
        <w:spacing w:lineRule="auto" w:line="276"/>
        <w:jc w:val="both"/>
        <w:rPr>
          <w:rFonts w:eastAsia="Calibri"/>
          <w:sz w:val="28"/>
          <w:szCs w:val="28"/>
        </w:rPr>
      </w:pPr>
      <w:r>
        <w:rPr>
          <w:rFonts w:eastAsia="Calibri"/>
          <w:sz w:val="28"/>
          <w:szCs w:val="28"/>
        </w:rPr>
        <w:t>Низкий уровень – 31%</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jc w:val="both"/>
        <w:rPr>
          <w:rFonts w:eastAsia="Calibri"/>
          <w:sz w:val="28"/>
          <w:szCs w:val="28"/>
        </w:rPr>
      </w:pPr>
      <w:r>
        <w:rPr/>
        <w:drawing>
          <wp:inline distT="0" distB="0" distL="0" distR="0">
            <wp:extent cx="2684780" cy="1858010"/>
            <wp:effectExtent l="0" t="0" r="0" b="0"/>
            <wp:docPr id="7"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eastAsia="Calibri"/>
          <w:sz w:val="28"/>
          <w:szCs w:val="28"/>
        </w:rPr>
        <w:t>…</w:t>
      </w:r>
      <w:r>
        <w:rPr/>
        <w:drawing>
          <wp:inline distT="0" distB="0" distL="0" distR="0">
            <wp:extent cx="2762885" cy="1867535"/>
            <wp:effectExtent l="0" t="0" r="0" b="0"/>
            <wp:docPr id="8"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pStyle w:val="Normal"/>
        <w:widowControl/>
        <w:spacing w:lineRule="auto" w:line="276" w:before="0" w:after="200"/>
        <w:jc w:val="both"/>
        <w:rPr>
          <w:rFonts w:eastAsia="Calibri"/>
          <w:sz w:val="28"/>
          <w:szCs w:val="28"/>
        </w:rPr>
      </w:pPr>
      <w:r>
        <w:rPr>
          <w:rFonts w:eastAsia="Calibri"/>
          <w:sz w:val="28"/>
          <w:szCs w:val="28"/>
        </w:rPr>
      </w:r>
    </w:p>
    <w:p>
      <w:pPr>
        <w:pStyle w:val="Normal"/>
        <w:widowControl/>
        <w:spacing w:lineRule="auto" w:line="276"/>
        <w:jc w:val="both"/>
        <w:rPr>
          <w:rFonts w:eastAsia="Calibri"/>
          <w:sz w:val="28"/>
          <w:szCs w:val="28"/>
        </w:rPr>
      </w:pPr>
      <w:r>
        <w:rPr>
          <w:rFonts w:eastAsia="Calibri"/>
          <w:b/>
          <w:sz w:val="28"/>
          <w:szCs w:val="28"/>
        </w:rPr>
        <w:t>Вывод</w:t>
      </w:r>
      <w:r>
        <w:rPr>
          <w:rFonts w:eastAsia="Calibri"/>
          <w:sz w:val="28"/>
          <w:szCs w:val="28"/>
        </w:rPr>
        <w:t>: На физкультурных занятиях к концу года дети освоили новые для них движения, Показали хороший растущий результат в освоении программы. Заметно улучшилось качество выполнения упражнений. Следует отметить, что по физической культуре использовались воображаемые ситуации, побуждая детей создавать образы (животных, растений). Наблюдения за проведением физкультурных занятий показали, что физическая нагрузка соответствовала функциональным возможностям детей. Занятия проходили динамично, с положительным эмоциональным настроем детей, предлагались упражнения на различные группы мышц, из разных исходных положений, развивающие гибкость и пластичность, осуществлялся индивидуальный подход, основным условием повышения эффективности работы по физическому воспитанию является организация проведения утренней гимнастики, гимнастики после сна; организация прогулок; организация и проведение физкультурных занятий.</w:t>
      </w:r>
    </w:p>
    <w:p>
      <w:pPr>
        <w:pStyle w:val="Normal"/>
        <w:widowControl/>
        <w:spacing w:lineRule="auto" w:line="276"/>
        <w:jc w:val="both"/>
        <w:rPr>
          <w:rFonts w:eastAsia="Calibri"/>
          <w:sz w:val="28"/>
          <w:szCs w:val="28"/>
        </w:rPr>
      </w:pPr>
      <w:r>
        <w:rPr>
          <w:rFonts w:eastAsia="Calibri"/>
          <w:b/>
          <w:sz w:val="28"/>
          <w:szCs w:val="28"/>
        </w:rPr>
        <w:t>Рекомендации</w:t>
      </w:r>
      <w:r>
        <w:rPr>
          <w:rFonts w:eastAsia="Calibri"/>
          <w:sz w:val="28"/>
          <w:szCs w:val="28"/>
        </w:rPr>
        <w:t>: Продолжать совершенствовать навыки физических упражнений на равновесие и координацию движений. Гораздо чаще проводить индивидуальную работу, продолжать создавать предметно -  пространственную среду для оптимальной двигательной активности детей в ДОУ, уделять особое внимание закреплению основных видов движения.</w:t>
      </w:r>
    </w:p>
    <w:p>
      <w:pPr>
        <w:pStyle w:val="Normal"/>
        <w:widowControl/>
        <w:spacing w:lineRule="auto" w:line="276" w:before="0" w:after="200"/>
        <w:jc w:val="both"/>
        <w:rPr>
          <w:rFonts w:eastAsia="Calibri"/>
          <w:sz w:val="28"/>
          <w:szCs w:val="28"/>
        </w:rPr>
      </w:pPr>
      <w:r>
        <w:rPr>
          <w:rFonts w:eastAsia="Calibri"/>
          <w:sz w:val="28"/>
          <w:szCs w:val="28"/>
        </w:rPr>
      </w:r>
    </w:p>
    <w:p>
      <w:pPr>
        <w:pStyle w:val="Normal"/>
        <w:widowControl/>
        <w:spacing w:lineRule="auto" w:line="276" w:before="0" w:after="200"/>
        <w:jc w:val="both"/>
        <w:rPr>
          <w:rFonts w:eastAsia="Calibri"/>
          <w:b/>
          <w:b/>
          <w:sz w:val="28"/>
          <w:szCs w:val="28"/>
        </w:rPr>
      </w:pPr>
      <w:r>
        <w:rPr>
          <w:rFonts w:eastAsia="Calibri"/>
          <w:b/>
          <w:sz w:val="28"/>
          <w:szCs w:val="28"/>
        </w:rPr>
        <w:t>Образовательная область «Художественно – эстетическая область».</w:t>
      </w:r>
    </w:p>
    <w:p>
      <w:pPr>
        <w:pStyle w:val="Normal"/>
        <w:widowControl/>
        <w:spacing w:lineRule="auto" w:line="276"/>
        <w:jc w:val="both"/>
        <w:rPr>
          <w:rFonts w:eastAsia="Calibri"/>
          <w:sz w:val="28"/>
          <w:szCs w:val="28"/>
        </w:rPr>
      </w:pPr>
      <w:r>
        <w:rPr>
          <w:rFonts w:eastAsia="Calibri"/>
          <w:sz w:val="28"/>
          <w:szCs w:val="28"/>
        </w:rPr>
        <w:t>На начало учебного года знание детей составило – 44%</w:t>
      </w:r>
    </w:p>
    <w:p>
      <w:pPr>
        <w:pStyle w:val="Normal"/>
        <w:widowControl/>
        <w:spacing w:lineRule="auto" w:line="276"/>
        <w:jc w:val="both"/>
        <w:rPr>
          <w:rFonts w:eastAsia="Calibri"/>
          <w:sz w:val="28"/>
          <w:szCs w:val="28"/>
        </w:rPr>
      </w:pPr>
      <w:r>
        <w:rPr>
          <w:rFonts w:eastAsia="Calibri"/>
          <w:sz w:val="28"/>
          <w:szCs w:val="28"/>
        </w:rPr>
        <w:t>На конец года – 63%</w:t>
      </w:r>
    </w:p>
    <w:p>
      <w:pPr>
        <w:pStyle w:val="Normal"/>
        <w:widowControl/>
        <w:spacing w:lineRule="auto" w:line="276"/>
        <w:jc w:val="both"/>
        <w:rPr>
          <w:rFonts w:eastAsia="Calibri"/>
          <w:sz w:val="28"/>
          <w:szCs w:val="28"/>
        </w:rPr>
      </w:pPr>
      <w:r>
        <w:rPr>
          <w:rFonts w:eastAsia="Calibri"/>
          <w:sz w:val="28"/>
          <w:szCs w:val="28"/>
        </w:rPr>
        <w:t>Высокий уровень – 1%</w:t>
      </w:r>
    </w:p>
    <w:p>
      <w:pPr>
        <w:pStyle w:val="Normal"/>
        <w:widowControl/>
        <w:spacing w:lineRule="auto" w:line="276"/>
        <w:jc w:val="both"/>
        <w:rPr>
          <w:rFonts w:eastAsia="Calibri"/>
          <w:sz w:val="28"/>
          <w:szCs w:val="28"/>
        </w:rPr>
      </w:pPr>
      <w:r>
        <w:rPr>
          <w:rFonts w:eastAsia="Calibri"/>
          <w:sz w:val="28"/>
          <w:szCs w:val="28"/>
        </w:rPr>
        <w:t>Средний уровень – 62%</w:t>
      </w:r>
    </w:p>
    <w:p>
      <w:pPr>
        <w:pStyle w:val="Normal"/>
        <w:widowControl/>
        <w:spacing w:lineRule="auto" w:line="276"/>
        <w:jc w:val="both"/>
        <w:rPr>
          <w:rFonts w:eastAsia="Calibri"/>
          <w:sz w:val="28"/>
          <w:szCs w:val="28"/>
        </w:rPr>
      </w:pPr>
      <w:r>
        <w:rPr>
          <w:rFonts w:eastAsia="Calibri"/>
          <w:sz w:val="28"/>
          <w:szCs w:val="28"/>
        </w:rPr>
        <w:t>Низкий уровень – 37%</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jc w:val="both"/>
        <w:rPr>
          <w:rFonts w:eastAsia="Calibri"/>
          <w:sz w:val="28"/>
          <w:szCs w:val="28"/>
        </w:rPr>
      </w:pPr>
      <w:r>
        <w:rPr/>
        <w:drawing>
          <wp:inline distT="0" distB="0" distL="0" distR="0">
            <wp:extent cx="2665730" cy="1984375"/>
            <wp:effectExtent l="0" t="0" r="0" b="0"/>
            <wp:docPr id="9"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Pr>
          <w:rFonts w:eastAsia="Calibri"/>
          <w:sz w:val="28"/>
          <w:szCs w:val="28"/>
        </w:rPr>
        <w:t>…</w:t>
      </w:r>
      <w:r>
        <w:rPr/>
        <w:drawing>
          <wp:inline distT="0" distB="0" distL="0" distR="0">
            <wp:extent cx="2684780" cy="1974850"/>
            <wp:effectExtent l="0" t="0" r="0" b="0"/>
            <wp:docPr id="10"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pStyle w:val="Normal"/>
        <w:widowControl/>
        <w:spacing w:lineRule="auto" w:line="276" w:before="0" w:after="200"/>
        <w:jc w:val="both"/>
        <w:rPr>
          <w:rFonts w:eastAsia="Calibri"/>
          <w:b/>
          <w:b/>
          <w:sz w:val="28"/>
          <w:szCs w:val="28"/>
        </w:rPr>
      </w:pPr>
      <w:r>
        <w:rPr>
          <w:rFonts w:eastAsia="Calibri"/>
          <w:b/>
          <w:sz w:val="28"/>
          <w:szCs w:val="28"/>
        </w:rPr>
      </w:r>
    </w:p>
    <w:p>
      <w:pPr>
        <w:pStyle w:val="Normal"/>
        <w:widowControl/>
        <w:spacing w:lineRule="auto" w:line="276" w:before="0" w:after="200"/>
        <w:jc w:val="both"/>
        <w:rPr>
          <w:rFonts w:eastAsia="Calibri"/>
          <w:b/>
          <w:b/>
          <w:sz w:val="28"/>
          <w:szCs w:val="28"/>
        </w:rPr>
      </w:pPr>
      <w:r>
        <w:rPr>
          <w:rFonts w:eastAsia="Calibri"/>
          <w:b/>
          <w:sz w:val="28"/>
          <w:szCs w:val="28"/>
        </w:rPr>
        <w:t xml:space="preserve">Вывод: </w:t>
      </w:r>
      <w:r>
        <w:rPr>
          <w:rFonts w:eastAsia="Calibri"/>
          <w:sz w:val="28"/>
          <w:szCs w:val="28"/>
        </w:rPr>
        <w:t>По данному мониторингу мы видим, что дети гораздо лучше научились рисовать карандашами и красками; лепить различные предметы, передавая их форму, пропорции, создают сюжетные композиции. Дети способны преобразовывать постройки в соответствии с заданием взрослого, проявляют интерес к конструированию, в том числе к поделкам из бумаги. Ни все дети могут правильно держать ножницы. Большая - половина группы научилась резать ножницами по прямой, по диагонали (квадрат, прямоугольник); вырезать круг из квадрата, овал из прямоугольника, плавно срезать и закруглять углы получается с частичной помощью взрослого.</w:t>
      </w:r>
    </w:p>
    <w:p>
      <w:pPr>
        <w:pStyle w:val="Normal"/>
        <w:widowControl/>
        <w:spacing w:lineRule="auto" w:line="276"/>
        <w:jc w:val="both"/>
        <w:rPr>
          <w:rFonts w:eastAsia="Calibri"/>
          <w:sz w:val="28"/>
          <w:szCs w:val="28"/>
        </w:rPr>
      </w:pPr>
      <w:r>
        <w:rPr>
          <w:rFonts w:eastAsia="Calibri"/>
          <w:b/>
          <w:sz w:val="28"/>
          <w:szCs w:val="28"/>
        </w:rPr>
        <w:t>Рекомендации</w:t>
      </w:r>
      <w:r>
        <w:rPr>
          <w:rFonts w:eastAsia="Calibri"/>
          <w:sz w:val="28"/>
          <w:szCs w:val="28"/>
        </w:rPr>
        <w:t>: Продолжаем совершенствовать нетрадиционные техники рисования, закрепляем технику вырезывания, сюжетную лепку и т.д..</w:t>
      </w:r>
    </w:p>
    <w:p>
      <w:pPr>
        <w:pStyle w:val="Normal"/>
        <w:widowControl/>
        <w:spacing w:lineRule="auto" w:line="276"/>
        <w:jc w:val="both"/>
        <w:rPr>
          <w:rFonts w:eastAsia="Calibri"/>
          <w:sz w:val="28"/>
          <w:szCs w:val="28"/>
        </w:rPr>
      </w:pPr>
      <w:r>
        <w:rPr>
          <w:rFonts w:eastAsia="Calibri"/>
          <w:sz w:val="28"/>
          <w:szCs w:val="28"/>
        </w:rPr>
      </w:r>
    </w:p>
    <w:p>
      <w:pPr>
        <w:pStyle w:val="Normal"/>
        <w:widowControl/>
        <w:spacing w:lineRule="auto" w:line="276"/>
        <w:jc w:val="both"/>
        <w:rPr>
          <w:rFonts w:eastAsia="Calibri"/>
          <w:sz w:val="28"/>
          <w:szCs w:val="28"/>
        </w:rPr>
      </w:pPr>
      <w:r>
        <w:rPr>
          <w:rFonts w:eastAsia="Calibri"/>
          <w:sz w:val="28"/>
          <w:szCs w:val="28"/>
        </w:rPr>
      </w:r>
      <w:bookmarkStart w:id="0" w:name="_Hlk145302234"/>
      <w:bookmarkStart w:id="1" w:name="_Hlk145302234"/>
      <w:bookmarkEnd w:id="1"/>
    </w:p>
    <w:p>
      <w:pPr>
        <w:pStyle w:val="ListParagraph"/>
        <w:tabs>
          <w:tab w:val="clear" w:pos="720"/>
          <w:tab w:val="left" w:pos="639" w:leader="none"/>
        </w:tabs>
        <w:spacing w:lineRule="auto" w:line="276"/>
        <w:ind w:left="638" w:hanging="0"/>
        <w:jc w:val="both"/>
        <w:rPr>
          <w:sz w:val="28"/>
          <w:szCs w:val="28"/>
        </w:rPr>
      </w:pPr>
      <w:r>
        <w:rPr/>
      </w:r>
    </w:p>
    <w:sectPr>
      <w:type w:val="nextPage"/>
      <w:pgSz w:w="11906" w:h="16838"/>
      <w:pgMar w:left="660" w:right="580" w:header="0" w:top="340" w:footer="0" w:bottom="2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Segoe UI Symbol">
    <w:charset w:val="01"/>
    <w:family w:val="swiss"/>
    <w:pitch w:val="variable"/>
  </w:font>
  <w:font w:name="Times New Roman">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475" w:hanging="200"/>
      </w:pPr>
      <w:rPr>
        <w:rFonts w:ascii="Segoe UI Symbol" w:hAnsi="Segoe UI Symbol" w:cs="Segoe UI Symbol" w:hint="default"/>
      </w:rPr>
    </w:lvl>
    <w:lvl w:ilvl="1">
      <w:start w:val="0"/>
      <w:numFmt w:val="bullet"/>
      <w:lvlText w:val="-"/>
      <w:lvlJc w:val="left"/>
      <w:pPr>
        <w:tabs>
          <w:tab w:val="num" w:pos="0"/>
        </w:tabs>
        <w:ind w:left="638" w:hanging="164"/>
      </w:pPr>
      <w:rPr>
        <w:rFonts w:ascii="Times New Roman" w:hAnsi="Times New Roman" w:cs="Times New Roman" w:hint="default"/>
      </w:rPr>
    </w:lvl>
    <w:lvl w:ilvl="2">
      <w:start w:val="0"/>
      <w:numFmt w:val="bullet"/>
      <w:lvlText w:val=""/>
      <w:lvlJc w:val="left"/>
      <w:pPr>
        <w:tabs>
          <w:tab w:val="num" w:pos="0"/>
        </w:tabs>
        <w:ind w:left="1753" w:hanging="164"/>
      </w:pPr>
      <w:rPr>
        <w:rFonts w:ascii="Symbol" w:hAnsi="Symbol" w:cs="Symbol" w:hint="default"/>
      </w:rPr>
    </w:lvl>
    <w:lvl w:ilvl="3">
      <w:start w:val="0"/>
      <w:numFmt w:val="bullet"/>
      <w:lvlText w:val=""/>
      <w:lvlJc w:val="left"/>
      <w:pPr>
        <w:tabs>
          <w:tab w:val="num" w:pos="0"/>
        </w:tabs>
        <w:ind w:left="2867" w:hanging="164"/>
      </w:pPr>
      <w:rPr>
        <w:rFonts w:ascii="Symbol" w:hAnsi="Symbol" w:cs="Symbol" w:hint="default"/>
      </w:rPr>
    </w:lvl>
    <w:lvl w:ilvl="4">
      <w:start w:val="0"/>
      <w:numFmt w:val="bullet"/>
      <w:lvlText w:val=""/>
      <w:lvlJc w:val="left"/>
      <w:pPr>
        <w:tabs>
          <w:tab w:val="num" w:pos="0"/>
        </w:tabs>
        <w:ind w:left="3981" w:hanging="164"/>
      </w:pPr>
      <w:rPr>
        <w:rFonts w:ascii="Symbol" w:hAnsi="Symbol" w:cs="Symbol" w:hint="default"/>
      </w:rPr>
    </w:lvl>
    <w:lvl w:ilvl="5">
      <w:start w:val="0"/>
      <w:numFmt w:val="bullet"/>
      <w:lvlText w:val=""/>
      <w:lvlJc w:val="left"/>
      <w:pPr>
        <w:tabs>
          <w:tab w:val="num" w:pos="0"/>
        </w:tabs>
        <w:ind w:left="5095" w:hanging="164"/>
      </w:pPr>
      <w:rPr>
        <w:rFonts w:ascii="Symbol" w:hAnsi="Symbol" w:cs="Symbol" w:hint="default"/>
      </w:rPr>
    </w:lvl>
    <w:lvl w:ilvl="6">
      <w:start w:val="0"/>
      <w:numFmt w:val="bullet"/>
      <w:lvlText w:val=""/>
      <w:lvlJc w:val="left"/>
      <w:pPr>
        <w:tabs>
          <w:tab w:val="num" w:pos="0"/>
        </w:tabs>
        <w:ind w:left="6209" w:hanging="164"/>
      </w:pPr>
      <w:rPr>
        <w:rFonts w:ascii="Symbol" w:hAnsi="Symbol" w:cs="Symbol" w:hint="default"/>
      </w:rPr>
    </w:lvl>
    <w:lvl w:ilvl="7">
      <w:start w:val="0"/>
      <w:numFmt w:val="bullet"/>
      <w:lvlText w:val=""/>
      <w:lvlJc w:val="left"/>
      <w:pPr>
        <w:tabs>
          <w:tab w:val="num" w:pos="0"/>
        </w:tabs>
        <w:ind w:left="7323" w:hanging="164"/>
      </w:pPr>
      <w:rPr>
        <w:rFonts w:ascii="Symbol" w:hAnsi="Symbol" w:cs="Symbol" w:hint="default"/>
      </w:rPr>
    </w:lvl>
    <w:lvl w:ilvl="8">
      <w:start w:val="0"/>
      <w:numFmt w:val="bullet"/>
      <w:lvlText w:val=""/>
      <w:lvlJc w:val="left"/>
      <w:pPr>
        <w:tabs>
          <w:tab w:val="num" w:pos="0"/>
        </w:tabs>
        <w:ind w:left="8437" w:hanging="164"/>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left"/>
    </w:pPr>
    <w:rPr>
      <w:rFonts w:ascii="Times New Roman" w:hAnsi="Times New Roman" w:eastAsia="Times New Roman" w:cs="Times New Roman"/>
      <w:color w:val="auto"/>
      <w:kern w:val="0"/>
      <w:sz w:val="22"/>
      <w:szCs w:val="22"/>
      <w:lang w:val="ru-RU" w:eastAsia="en-US" w:bidi="ar-SA"/>
    </w:rPr>
  </w:style>
  <w:style w:type="paragraph" w:styleId="1">
    <w:name w:val="Heading 1"/>
    <w:basedOn w:val="Normal"/>
    <w:uiPriority w:val="9"/>
    <w:qFormat/>
    <w:pPr>
      <w:ind w:left="475" w:hanging="0"/>
      <w:outlineLvl w:val="0"/>
    </w:pPr>
    <w:rPr>
      <w:b/>
      <w:bCs/>
      <w:sz w:val="28"/>
      <w:szCs w:val="28"/>
      <w:u w:val="single" w:color="000000"/>
    </w:rPr>
  </w:style>
  <w:style w:type="paragraph" w:styleId="2">
    <w:name w:val="Heading 2"/>
    <w:basedOn w:val="Normal"/>
    <w:uiPriority w:val="9"/>
    <w:unhideWhenUsed/>
    <w:qFormat/>
    <w:pPr>
      <w:spacing w:lineRule="exact" w:line="272" w:before="2" w:after="0"/>
      <w:ind w:left="475" w:hanging="0"/>
      <w:outlineLvl w:val="1"/>
    </w:pPr>
    <w:rPr>
      <w:b/>
      <w:bCs/>
      <w:sz w:val="24"/>
      <w:szCs w:val="24"/>
    </w:rPr>
  </w:style>
  <w:style w:type="character" w:styleId="DefaultParagraphFont" w:default="1">
    <w:name w:val="Default Paragraph Font"/>
    <w:uiPriority w:val="1"/>
    <w:unhideWhenUsed/>
    <w:qFormat/>
    <w:rPr/>
  </w:style>
  <w:style w:type="character" w:styleId="Style12">
    <w:name w:val="Интернет-ссылка"/>
    <w:rPr>
      <w:color w:val="000080"/>
      <w:u w:val="single"/>
      <w:lang w:val="zxx" w:eastAsia="zxx" w:bidi="zxx"/>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uiPriority w:val="1"/>
    <w:qFormat/>
    <w:pPr/>
    <w:rPr>
      <w:sz w:val="24"/>
      <w:szCs w:val="24"/>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ListParagraph">
    <w:name w:val="List Paragraph"/>
    <w:basedOn w:val="Normal"/>
    <w:uiPriority w:val="1"/>
    <w:qFormat/>
    <w:pPr>
      <w:spacing w:lineRule="exact" w:line="321"/>
      <w:ind w:left="475" w:hanging="358"/>
    </w:pPr>
    <w:rPr/>
  </w:style>
  <w:style w:type="paragraph" w:styleId="TableParagraph" w:customStyle="1">
    <w:name w:val="Table Paragraph"/>
    <w:basedOn w:val="Normal"/>
    <w:uiPriority w:val="1"/>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firo.ru/wp-content/uploads/2014/02/Ot-rojdenia-do-shkoli.pdf" TargetMode="External"/><Relationship Id="rId3" Type="http://schemas.openxmlformats.org/officeDocument/2006/relationships/hyperlink" Target="http://www.firo.ru/wp-content/uploads/2014/02/Ot-rojdenia-do-shkoli.pdf" TargetMode="External"/><Relationship Id="rId4" Type="http://schemas.openxmlformats.org/officeDocument/2006/relationships/chart" Target="charts/chart1.xml"/><Relationship Id="rId5" Type="http://schemas.openxmlformats.org/officeDocument/2006/relationships/chart" Target="charts/chart2.xml"/><Relationship Id="rId6" Type="http://schemas.openxmlformats.org/officeDocument/2006/relationships/chart" Target="charts/chart3.xml"/><Relationship Id="rId7" Type="http://schemas.openxmlformats.org/officeDocument/2006/relationships/chart" Target="charts/chart4.xml"/><Relationship Id="rId8" Type="http://schemas.openxmlformats.org/officeDocument/2006/relationships/chart" Target="charts/chart5.xml"/><Relationship Id="rId9" Type="http://schemas.openxmlformats.org/officeDocument/2006/relationships/chart" Target="charts/chart6.xml"/><Relationship Id="rId10" Type="http://schemas.openxmlformats.org/officeDocument/2006/relationships/chart" Target="charts/chart7.xml"/><Relationship Id="rId11" Type="http://schemas.openxmlformats.org/officeDocument/2006/relationships/chart" Target="charts/chart8.xml"/><Relationship Id="rId12" Type="http://schemas.openxmlformats.org/officeDocument/2006/relationships/chart" Target="charts/chart9.xml"/><Relationship Id="rId13" Type="http://schemas.openxmlformats.org/officeDocument/2006/relationships/chart" Target="charts/chart10.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charts/_rels/chart1.xml.rels><?xml version="1.0" encoding="UTF-8"?>
<Relationships xmlns="http://schemas.openxmlformats.org/package/2006/relationships"><Relationship Id="rId1" Type="http://schemas.openxmlformats.org/officeDocument/2006/relationships/package" Target="../embeddings/Microsoft_Excel_Worksheet.xlsx"/>
</Relationships>
</file>

<file path=word/charts/_rels/chart2.xml.rels><?xml version="1.0" encoding="UTF-8"?>
<Relationships xmlns="http://schemas.openxmlformats.org/package/2006/relationships"><Relationship Id="rId1" Type="http://schemas.openxmlformats.org/officeDocument/2006/relationships/package" Target="../embeddings/Microsoft_Excel_Worksheet1.xlsx"/>
</Relationships>
</file>

<file path=word/charts/_rels/chart3.xml.rels><?xml version="1.0" encoding="UTF-8"?>
<Relationships xmlns="http://schemas.openxmlformats.org/package/2006/relationships"><Relationship Id="rId1" Type="http://schemas.openxmlformats.org/officeDocument/2006/relationships/package" Target="../embeddings/Microsoft_Excel_Worksheet2.xlsx"/>
</Relationships>
</file>

<file path=word/charts/_rels/chart4.xml.rels><?xml version="1.0" encoding="UTF-8"?>
<Relationships xmlns="http://schemas.openxmlformats.org/package/2006/relationships"><Relationship Id="rId1" Type="http://schemas.openxmlformats.org/officeDocument/2006/relationships/package" Target="../embeddings/Microsoft_Excel_Worksheet3.xlsx"/>
</Relationships>
</file>

<file path=word/charts/_rels/chart5.xml.rels><?xml version="1.0" encoding="UTF-8"?>
<Relationships xmlns="http://schemas.openxmlformats.org/package/2006/relationships"><Relationship Id="rId1" Type="http://schemas.openxmlformats.org/officeDocument/2006/relationships/package" Target="../embeddings/Microsoft_Excel_Worksheet4.xlsx"/>
</Relationships>
</file>

<file path=word/charts/_rels/chart6.xml.rels><?xml version="1.0" encoding="UTF-8"?>
<Relationships xmlns="http://schemas.openxmlformats.org/package/2006/relationships"><Relationship Id="rId1" Type="http://schemas.openxmlformats.org/officeDocument/2006/relationships/package" Target="../embeddings/Microsoft_Excel_Worksheet5.xlsx"/>
</Relationships>
</file>

<file path=word/charts/_rels/chart7.xml.rels><?xml version="1.0" encoding="UTF-8"?>
<Relationships xmlns="http://schemas.openxmlformats.org/package/2006/relationships"><Relationship Id="rId1" Type="http://schemas.openxmlformats.org/officeDocument/2006/relationships/package" Target="../embeddings/Microsoft_Excel_Worksheet6.xlsx"/>
</Relationships>
</file>

<file path=word/charts/_rels/chart8.xml.rels><?xml version="1.0" encoding="UTF-8"?>
<Relationships xmlns="http://schemas.openxmlformats.org/package/2006/relationships"><Relationship Id="rId1" Type="http://schemas.openxmlformats.org/officeDocument/2006/relationships/package" Target="../embeddings/Microsoft_Excel_Worksheet7.xlsx"/>
</Relationships>
</file>

<file path=word/charts/_rels/chart9.xml.rels><?xml version="1.0" encoding="UTF-8"?>
<Relationships xmlns="http://schemas.openxmlformats.org/package/2006/relationships"><Relationship Id="rId1" Type="http://schemas.openxmlformats.org/officeDocument/2006/relationships/package" Target="../embeddings/Microsoft_Excel_Worksheet8.xlsx"/>
</Relationships>
</file>

<file path=word/charts/_rels/chart10.xml.rels><?xml version="1.0" encoding="UTF-8"?>
<Relationships xmlns="http://schemas.openxmlformats.org/package/2006/relationships"><Relationship Id="rId1" Type="http://schemas.openxmlformats.org/officeDocument/2006/relationships/package" Target="../embeddings/Microsoft_Excel_Worksheet9.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2020-2021</a:t>
            </a:r>
          </a:p>
        </c:rich>
      </c:tx>
      <c:overlay val="0"/>
      <c:spPr>
        <a:noFill/>
        <a:ln w="0">
          <a:noFill/>
        </a:ln>
      </c:spPr>
    </c:title>
    <c:autoTitleDeleted val="0"/>
    <c:plotArea>
      <c:barChart>
        <c:barDir val="col"/>
        <c:grouping val="clustered"/>
        <c:varyColors val="0"/>
        <c:ser>
          <c:idx val="0"/>
          <c:order val="0"/>
          <c:tx>
            <c:strRef>
              <c:f>label 0</c:f>
              <c:strCache>
                <c:ptCount val="1"/>
                <c:pt idx="0">
                  <c:v>начало года</c:v>
                </c:pt>
              </c:strCache>
            </c:strRef>
          </c:tx>
          <c:spPr>
            <a:gradFill>
              <a:gsLst>
                <a:gs pos="0">
                  <a:srgbClr val="2e5f99"/>
                </a:gs>
                <a:gs pos="100000">
                  <a:srgbClr val="3c7ac7"/>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ct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0</c:f>
              <c:numCache>
                <c:formatCode>General</c:formatCode>
                <c:ptCount val="1"/>
                <c:pt idx="0">
                  <c:v>0.53</c:v>
                </c:pt>
              </c:numCache>
            </c:numRef>
          </c:val>
        </c:ser>
        <c:ser>
          <c:idx val="1"/>
          <c:order val="1"/>
          <c:tx>
            <c:strRef>
              <c:f>label 1</c:f>
              <c:strCache>
                <c:ptCount val="1"/>
                <c:pt idx="0">
                  <c:v>конец года</c:v>
                </c:pt>
              </c:strCache>
            </c:strRef>
          </c:tx>
          <c:spPr>
            <a:gradFill>
              <a:gsLst>
                <a:gs pos="0">
                  <a:srgbClr val="9c2f2c"/>
                </a:gs>
                <a:gs pos="100000">
                  <a:srgbClr val="cb3d39"/>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1</c:f>
              <c:numCache>
                <c:formatCode>General</c:formatCode>
                <c:ptCount val="1"/>
                <c:pt idx="0">
                  <c:v>0.7</c:v>
                </c:pt>
              </c:numCache>
            </c:numRef>
          </c:val>
        </c:ser>
        <c:gapWidth val="150"/>
        <c:overlap val="0"/>
        <c:axId val="80155040"/>
        <c:axId val="11709172"/>
      </c:barChart>
      <c:catAx>
        <c:axId val="80155040"/>
        <c:scaling>
          <c:orientation val="minMax"/>
        </c:scaling>
        <c:delete val="0"/>
        <c:axPos val="b"/>
        <c:numFmt formatCode="[$-419]dd/mm/yyyy" sourceLinked="1"/>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11709172"/>
        <c:crosses val="autoZero"/>
        <c:auto val="1"/>
        <c:lblAlgn val="ctr"/>
        <c:lblOffset val="100"/>
        <c:noMultiLvlLbl val="0"/>
      </c:catAx>
      <c:valAx>
        <c:axId val="11709172"/>
        <c:scaling>
          <c:orientation val="minMax"/>
          <c:max val="1"/>
          <c:min val="0"/>
        </c:scaling>
        <c:delete val="0"/>
        <c:axPos val="l"/>
        <c:majorGridlines>
          <c:spPr>
            <a:ln w="9360">
              <a:solidFill>
                <a:srgbClr val="878787"/>
              </a:solidFill>
              <a:round/>
            </a:ln>
          </c:spPr>
        </c:majorGridlines>
        <c:numFmt formatCode="0%" sourceLinked="0"/>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80155040"/>
        <c:crosses val="autoZero"/>
        <c:crossBetween val="between"/>
      </c:valAx>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Познавательное развитие</a:t>
            </a:r>
          </a:p>
        </c:rich>
      </c:tx>
      <c:overlay val="0"/>
      <c:spPr>
        <a:noFill/>
        <a:ln w="0">
          <a:noFill/>
        </a:ln>
      </c:spPr>
    </c:title>
    <c:autoTitleDeleted val="0"/>
    <c:plotArea>
      <c:doughnutChart>
        <c:varyColors val="1"/>
        <c:ser>
          <c:idx val="0"/>
          <c:order val="0"/>
          <c:tx>
            <c:strRef>
              <c:f>label 0</c:f>
              <c:strCache>
                <c:ptCount val="1"/>
                <c:pt idx="0">
                  <c:v>Серия1</c:v>
                </c:pt>
              </c:strCache>
            </c:strRef>
          </c:tx>
          <c:spPr>
            <a:solidFill>
              <a:srgbClr val="4f81bd"/>
            </a:solidFill>
            <a:ln w="0">
              <a:noFill/>
            </a:ln>
          </c:spPr>
          <c:explosion val="0"/>
          <c:dPt>
            <c:idx val="0"/>
            <c:spPr>
              <a:solidFill>
                <a:srgbClr val="4f81bd"/>
              </a:solidFill>
              <a:ln w="0">
                <a:noFill/>
              </a:ln>
            </c:spPr>
          </c:dPt>
          <c:dPt>
            <c:idx val="1"/>
            <c:spPr>
              <a:solidFill>
                <a:srgbClr val="c0504d"/>
              </a:solidFill>
              <a:ln w="0">
                <a:noFill/>
              </a:ln>
            </c:spPr>
          </c:dPt>
          <c:dPt>
            <c:idx val="2"/>
            <c:spPr>
              <a:solidFill>
                <a:srgbClr val="9bbb59"/>
              </a:solidFill>
              <a:ln w="0">
                <a:noFill/>
              </a:ln>
            </c:spPr>
          </c:dPt>
          <c:dLbls>
            <c:dLbl>
              <c:idx val="0"/>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1"/>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2"/>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txPr>
              <a:bodyPr wrap="square"/>
              <a:lstStyle/>
              <a:p>
                <a:pPr>
                  <a:defRPr b="0" sz="1000" spc="-1" strike="noStrike">
                    <a:solidFill>
                      <a:srgbClr val="000000"/>
                    </a:solidFill>
                    <a:latin typeface="Calibri"/>
                  </a:defRPr>
                </a:pPr>
              </a:p>
            </c:txPr>
            <c:showLegendKey val="0"/>
            <c:showVal val="0"/>
            <c:showCatName val="0"/>
            <c:showSerName val="0"/>
            <c:showPercent val="1"/>
            <c:separator>
</c:separator>
            <c:showLeaderLines val="0"/>
          </c:dLbls>
          <c:cat>
            <c:strRef>
              <c:f>categories</c:f>
              <c:strCache>
                <c:ptCount val="3"/>
                <c:pt idx="0">
                  <c:v>высокий</c:v>
                </c:pt>
                <c:pt idx="1">
                  <c:v>средний</c:v>
                </c:pt>
                <c:pt idx="2">
                  <c:v>низкий</c:v>
                </c:pt>
              </c:strCache>
            </c:strRef>
          </c:cat>
          <c:val>
            <c:numRef>
              <c:f>0</c:f>
              <c:numCache>
                <c:formatCode>General</c:formatCode>
                <c:ptCount val="3"/>
                <c:pt idx="0">
                  <c:v>0.03</c:v>
                </c:pt>
                <c:pt idx="1">
                  <c:v>0.67</c:v>
                </c:pt>
                <c:pt idx="2">
                  <c:v>0.3</c:v>
                </c:pt>
              </c:numCache>
            </c:numRef>
          </c:val>
        </c:ser>
        <c:firstSliceAng val="0"/>
        <c:holeSize val="50"/>
      </c:doughnutChart>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 strike="noStrike">
                <a:solidFill>
                  <a:srgbClr val="000000"/>
                </a:solidFill>
                <a:latin typeface="Calibri"/>
              </a:defRPr>
            </a:pPr>
            <a:r>
              <a:rPr b="1" sz="1400" spc="-1" strike="noStrike">
                <a:solidFill>
                  <a:srgbClr val="000000"/>
                </a:solidFill>
                <a:latin typeface="Calibri"/>
              </a:rPr>
              <a:t>2020-2021</a:t>
            </a:r>
          </a:p>
        </c:rich>
      </c:tx>
      <c:overlay val="0"/>
      <c:spPr>
        <a:noFill/>
        <a:ln w="0">
          <a:noFill/>
        </a:ln>
      </c:spPr>
    </c:title>
    <c:autoTitleDeleted val="0"/>
    <c:plotArea>
      <c:barChart>
        <c:barDir val="col"/>
        <c:grouping val="clustered"/>
        <c:varyColors val="0"/>
        <c:ser>
          <c:idx val="0"/>
          <c:order val="0"/>
          <c:tx>
            <c:strRef>
              <c:f>label 0</c:f>
              <c:strCache>
                <c:ptCount val="1"/>
                <c:pt idx="0">
                  <c:v>начало года</c:v>
                </c:pt>
              </c:strCache>
            </c:strRef>
          </c:tx>
          <c:spPr>
            <a:gradFill>
              <a:gsLst>
                <a:gs pos="0">
                  <a:srgbClr val="2e5f99"/>
                </a:gs>
                <a:gs pos="100000">
                  <a:srgbClr val="3c7ac7"/>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ct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0</c:f>
              <c:numCache>
                <c:formatCode>General</c:formatCode>
                <c:ptCount val="1"/>
                <c:pt idx="0">
                  <c:v>0.42</c:v>
                </c:pt>
              </c:numCache>
            </c:numRef>
          </c:val>
        </c:ser>
        <c:ser>
          <c:idx val="1"/>
          <c:order val="1"/>
          <c:tx>
            <c:strRef>
              <c:f>label 1</c:f>
              <c:strCache>
                <c:ptCount val="1"/>
                <c:pt idx="0">
                  <c:v>конец года</c:v>
                </c:pt>
              </c:strCache>
            </c:strRef>
          </c:tx>
          <c:spPr>
            <a:gradFill>
              <a:gsLst>
                <a:gs pos="0">
                  <a:srgbClr val="9c2f2c"/>
                </a:gs>
                <a:gs pos="100000">
                  <a:srgbClr val="cb3d39"/>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1</c:f>
              <c:numCache>
                <c:formatCode>General</c:formatCode>
                <c:ptCount val="1"/>
                <c:pt idx="0">
                  <c:v>0.51</c:v>
                </c:pt>
              </c:numCache>
            </c:numRef>
          </c:val>
        </c:ser>
        <c:gapWidth val="150"/>
        <c:overlap val="0"/>
        <c:axId val="55385750"/>
        <c:axId val="37557087"/>
      </c:barChart>
      <c:catAx>
        <c:axId val="55385750"/>
        <c:scaling>
          <c:orientation val="minMax"/>
        </c:scaling>
        <c:delete val="0"/>
        <c:axPos val="b"/>
        <c:numFmt formatCode="[$-419]dd/mm/yyyy" sourceLinked="1"/>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37557087"/>
        <c:crosses val="autoZero"/>
        <c:auto val="1"/>
        <c:lblAlgn val="ctr"/>
        <c:lblOffset val="100"/>
        <c:noMultiLvlLbl val="0"/>
      </c:catAx>
      <c:valAx>
        <c:axId val="37557087"/>
        <c:scaling>
          <c:orientation val="minMax"/>
          <c:max val="1"/>
          <c:min val="0"/>
        </c:scaling>
        <c:delete val="0"/>
        <c:axPos val="l"/>
        <c:majorGridlines>
          <c:spPr>
            <a:ln w="9360">
              <a:solidFill>
                <a:srgbClr val="878787"/>
              </a:solidFill>
              <a:round/>
            </a:ln>
          </c:spPr>
        </c:majorGridlines>
        <c:numFmt formatCode="0%" sourceLinked="0"/>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55385750"/>
        <c:crosses val="autoZero"/>
        <c:crossBetween val="between"/>
      </c:valAx>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Речевое развитие</a:t>
            </a:r>
          </a:p>
        </c:rich>
      </c:tx>
      <c:overlay val="0"/>
      <c:spPr>
        <a:noFill/>
        <a:ln w="0">
          <a:noFill/>
        </a:ln>
      </c:spPr>
    </c:title>
    <c:autoTitleDeleted val="0"/>
    <c:plotArea>
      <c:doughnutChart>
        <c:varyColors val="1"/>
        <c:ser>
          <c:idx val="0"/>
          <c:order val="0"/>
          <c:tx>
            <c:strRef>
              <c:f>label 0</c:f>
              <c:strCache>
                <c:ptCount val="1"/>
                <c:pt idx="0">
                  <c:v>Серия1</c:v>
                </c:pt>
              </c:strCache>
            </c:strRef>
          </c:tx>
          <c:spPr>
            <a:solidFill>
              <a:srgbClr val="4f81bd"/>
            </a:solidFill>
            <a:ln w="0">
              <a:noFill/>
            </a:ln>
          </c:spPr>
          <c:explosion val="0"/>
          <c:dPt>
            <c:idx val="0"/>
            <c:spPr>
              <a:solidFill>
                <a:srgbClr val="4f81bd"/>
              </a:solidFill>
              <a:ln w="0">
                <a:noFill/>
              </a:ln>
            </c:spPr>
          </c:dPt>
          <c:dPt>
            <c:idx val="1"/>
            <c:spPr>
              <a:solidFill>
                <a:srgbClr val="c0504d"/>
              </a:solidFill>
              <a:ln w="0">
                <a:noFill/>
              </a:ln>
            </c:spPr>
          </c:dPt>
          <c:dPt>
            <c:idx val="2"/>
            <c:spPr>
              <a:solidFill>
                <a:srgbClr val="9bbb59"/>
              </a:solidFill>
              <a:ln w="0">
                <a:noFill/>
              </a:ln>
            </c:spPr>
          </c:dPt>
          <c:dLbls>
            <c:dLbl>
              <c:idx val="0"/>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1"/>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2"/>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txPr>
              <a:bodyPr wrap="square"/>
              <a:lstStyle/>
              <a:p>
                <a:pPr>
                  <a:defRPr b="0" sz="1000" spc="-1" strike="noStrike">
                    <a:solidFill>
                      <a:srgbClr val="000000"/>
                    </a:solidFill>
                    <a:latin typeface="Calibri"/>
                  </a:defRPr>
                </a:pPr>
              </a:p>
            </c:txPr>
            <c:showLegendKey val="0"/>
            <c:showVal val="0"/>
            <c:showCatName val="0"/>
            <c:showSerName val="0"/>
            <c:showPercent val="1"/>
            <c:separator>
</c:separator>
            <c:showLeaderLines val="0"/>
          </c:dLbls>
          <c:cat>
            <c:strRef>
              <c:f>categories</c:f>
              <c:strCache>
                <c:ptCount val="3"/>
                <c:pt idx="0">
                  <c:v>высокий </c:v>
                </c:pt>
                <c:pt idx="1">
                  <c:v>средний</c:v>
                </c:pt>
                <c:pt idx="2">
                  <c:v>низкий</c:v>
                </c:pt>
              </c:strCache>
            </c:strRef>
          </c:cat>
          <c:val>
            <c:numRef>
              <c:f>0</c:f>
              <c:numCache>
                <c:formatCode>General</c:formatCode>
                <c:ptCount val="3"/>
                <c:pt idx="0">
                  <c:v>0</c:v>
                </c:pt>
                <c:pt idx="1">
                  <c:v>0.51</c:v>
                </c:pt>
                <c:pt idx="2">
                  <c:v>0.49</c:v>
                </c:pt>
              </c:numCache>
            </c:numRef>
          </c:val>
        </c:ser>
        <c:firstSliceAng val="0"/>
        <c:holeSize val="50"/>
      </c:doughnutChart>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2019-2020</a:t>
            </a:r>
          </a:p>
        </c:rich>
      </c:tx>
      <c:overlay val="0"/>
      <c:spPr>
        <a:noFill/>
        <a:ln w="0">
          <a:noFill/>
        </a:ln>
      </c:spPr>
    </c:title>
    <c:autoTitleDeleted val="0"/>
    <c:plotArea>
      <c:barChart>
        <c:barDir val="col"/>
        <c:grouping val="clustered"/>
        <c:varyColors val="0"/>
        <c:ser>
          <c:idx val="0"/>
          <c:order val="0"/>
          <c:tx>
            <c:strRef>
              <c:f>label 0</c:f>
              <c:strCache>
                <c:ptCount val="1"/>
                <c:pt idx="0">
                  <c:v>начало года</c:v>
                </c:pt>
              </c:strCache>
            </c:strRef>
          </c:tx>
          <c:spPr>
            <a:gradFill>
              <a:gsLst>
                <a:gs pos="0">
                  <a:srgbClr val="2e5f99"/>
                </a:gs>
                <a:gs pos="100000">
                  <a:srgbClr val="3c7ac7"/>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ct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0</c:f>
              <c:numCache>
                <c:formatCode>General</c:formatCode>
                <c:ptCount val="1"/>
                <c:pt idx="0">
                  <c:v>0.41</c:v>
                </c:pt>
              </c:numCache>
            </c:numRef>
          </c:val>
        </c:ser>
        <c:ser>
          <c:idx val="1"/>
          <c:order val="1"/>
          <c:tx>
            <c:strRef>
              <c:f>label 1</c:f>
              <c:strCache>
                <c:ptCount val="1"/>
                <c:pt idx="0">
                  <c:v>конец года</c:v>
                </c:pt>
              </c:strCache>
            </c:strRef>
          </c:tx>
          <c:spPr>
            <a:gradFill>
              <a:gsLst>
                <a:gs pos="0">
                  <a:srgbClr val="9c2f2c"/>
                </a:gs>
                <a:gs pos="100000">
                  <a:srgbClr val="cb3d39"/>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1</c:f>
              <c:numCache>
                <c:formatCode>General</c:formatCode>
                <c:ptCount val="1"/>
                <c:pt idx="0">
                  <c:v>0.47</c:v>
                </c:pt>
              </c:numCache>
            </c:numRef>
          </c:val>
        </c:ser>
        <c:gapWidth val="150"/>
        <c:overlap val="0"/>
        <c:axId val="64798568"/>
        <c:axId val="82640988"/>
      </c:barChart>
      <c:catAx>
        <c:axId val="64798568"/>
        <c:scaling>
          <c:orientation val="minMax"/>
        </c:scaling>
        <c:delete val="0"/>
        <c:axPos val="b"/>
        <c:numFmt formatCode="[$-419]dd/mm/yyyy" sourceLinked="1"/>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82640988"/>
        <c:crosses val="autoZero"/>
        <c:auto val="1"/>
        <c:lblAlgn val="ctr"/>
        <c:lblOffset val="100"/>
        <c:noMultiLvlLbl val="0"/>
      </c:catAx>
      <c:valAx>
        <c:axId val="82640988"/>
        <c:scaling>
          <c:orientation val="minMax"/>
          <c:max val="1"/>
          <c:min val="0"/>
        </c:scaling>
        <c:delete val="0"/>
        <c:axPos val="l"/>
        <c:majorGridlines>
          <c:spPr>
            <a:ln w="9360">
              <a:solidFill>
                <a:srgbClr val="878787"/>
              </a:solidFill>
              <a:round/>
            </a:ln>
          </c:spPr>
        </c:majorGridlines>
        <c:numFmt formatCode="0%" sourceLinked="0"/>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64798568"/>
        <c:crosses val="autoZero"/>
        <c:crossBetween val="between"/>
      </c:valAx>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Социально-коммуникативное развитие</a:t>
            </a:r>
          </a:p>
        </c:rich>
      </c:tx>
      <c:overlay val="0"/>
      <c:spPr>
        <a:noFill/>
        <a:ln w="0">
          <a:noFill/>
        </a:ln>
      </c:spPr>
    </c:title>
    <c:autoTitleDeleted val="0"/>
    <c:plotArea>
      <c:doughnutChart>
        <c:varyColors val="1"/>
        <c:ser>
          <c:idx val="0"/>
          <c:order val="0"/>
          <c:tx>
            <c:strRef>
              <c:f>label 0</c:f>
              <c:strCache>
                <c:ptCount val="1"/>
                <c:pt idx="0">
                  <c:v>Серия1</c:v>
                </c:pt>
              </c:strCache>
            </c:strRef>
          </c:tx>
          <c:spPr>
            <a:solidFill>
              <a:srgbClr val="4f81bd"/>
            </a:solidFill>
            <a:ln w="0">
              <a:noFill/>
            </a:ln>
          </c:spPr>
          <c:explosion val="0"/>
          <c:dPt>
            <c:idx val="0"/>
            <c:spPr>
              <a:solidFill>
                <a:srgbClr val="4f81bd"/>
              </a:solidFill>
              <a:ln w="0">
                <a:noFill/>
              </a:ln>
            </c:spPr>
          </c:dPt>
          <c:dPt>
            <c:idx val="1"/>
            <c:spPr>
              <a:solidFill>
                <a:srgbClr val="c0504d"/>
              </a:solidFill>
              <a:ln w="0">
                <a:noFill/>
              </a:ln>
            </c:spPr>
          </c:dPt>
          <c:dPt>
            <c:idx val="2"/>
            <c:spPr>
              <a:solidFill>
                <a:srgbClr val="9bbb59"/>
              </a:solidFill>
              <a:ln w="0">
                <a:noFill/>
              </a:ln>
            </c:spPr>
          </c:dPt>
          <c:dLbls>
            <c:dLbl>
              <c:idx val="0"/>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1"/>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2"/>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txPr>
              <a:bodyPr wrap="square"/>
              <a:lstStyle/>
              <a:p>
                <a:pPr>
                  <a:defRPr b="0" sz="1000" spc="-1" strike="noStrike">
                    <a:solidFill>
                      <a:srgbClr val="000000"/>
                    </a:solidFill>
                    <a:latin typeface="Calibri"/>
                  </a:defRPr>
                </a:pPr>
              </a:p>
            </c:txPr>
            <c:showLegendKey val="0"/>
            <c:showVal val="0"/>
            <c:showCatName val="0"/>
            <c:showSerName val="0"/>
            <c:showPercent val="1"/>
            <c:separator>
</c:separator>
            <c:showLeaderLines val="0"/>
          </c:dLbls>
          <c:cat>
            <c:strRef>
              <c:f>categories</c:f>
              <c:strCache>
                <c:ptCount val="3"/>
                <c:pt idx="0">
                  <c:v>высокий</c:v>
                </c:pt>
                <c:pt idx="1">
                  <c:v>средний</c:v>
                </c:pt>
                <c:pt idx="2">
                  <c:v>низкий</c:v>
                </c:pt>
              </c:strCache>
            </c:strRef>
          </c:cat>
          <c:val>
            <c:numRef>
              <c:f>0</c:f>
              <c:numCache>
                <c:formatCode>General</c:formatCode>
                <c:ptCount val="3"/>
                <c:pt idx="0">
                  <c:v>0.06</c:v>
                </c:pt>
                <c:pt idx="1">
                  <c:v>0.41</c:v>
                </c:pt>
                <c:pt idx="2">
                  <c:v>0.53</c:v>
                </c:pt>
              </c:numCache>
            </c:numRef>
          </c:val>
        </c:ser>
        <c:firstSliceAng val="0"/>
        <c:holeSize val="50"/>
      </c:doughnutChart>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2020-2021</a:t>
            </a:r>
          </a:p>
        </c:rich>
      </c:tx>
      <c:overlay val="0"/>
      <c:spPr>
        <a:noFill/>
        <a:ln w="0">
          <a:noFill/>
        </a:ln>
      </c:spPr>
    </c:title>
    <c:autoTitleDeleted val="0"/>
    <c:plotArea>
      <c:barChart>
        <c:barDir val="col"/>
        <c:grouping val="clustered"/>
        <c:varyColors val="0"/>
        <c:ser>
          <c:idx val="0"/>
          <c:order val="0"/>
          <c:tx>
            <c:strRef>
              <c:f>label 0</c:f>
              <c:strCache>
                <c:ptCount val="1"/>
                <c:pt idx="0">
                  <c:v>начало года</c:v>
                </c:pt>
              </c:strCache>
            </c:strRef>
          </c:tx>
          <c:spPr>
            <a:gradFill>
              <a:gsLst>
                <a:gs pos="0">
                  <a:srgbClr val="2e5f99"/>
                </a:gs>
                <a:gs pos="100000">
                  <a:srgbClr val="3c7ac7"/>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ct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0</c:f>
              <c:numCache>
                <c:formatCode>General</c:formatCode>
                <c:ptCount val="1"/>
                <c:pt idx="0">
                  <c:v>0.56</c:v>
                </c:pt>
              </c:numCache>
            </c:numRef>
          </c:val>
        </c:ser>
        <c:ser>
          <c:idx val="1"/>
          <c:order val="1"/>
          <c:tx>
            <c:strRef>
              <c:f>label 1</c:f>
              <c:strCache>
                <c:ptCount val="1"/>
                <c:pt idx="0">
                  <c:v>конец года</c:v>
                </c:pt>
              </c:strCache>
            </c:strRef>
          </c:tx>
          <c:spPr>
            <a:gradFill>
              <a:gsLst>
                <a:gs pos="0">
                  <a:srgbClr val="9c2f2c"/>
                </a:gs>
                <a:gs pos="100000">
                  <a:srgbClr val="cb3d39"/>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1</c:f>
              <c:numCache>
                <c:formatCode>General</c:formatCode>
                <c:ptCount val="1"/>
                <c:pt idx="0">
                  <c:v>0.7</c:v>
                </c:pt>
              </c:numCache>
            </c:numRef>
          </c:val>
        </c:ser>
        <c:gapWidth val="150"/>
        <c:overlap val="0"/>
        <c:axId val="78171164"/>
        <c:axId val="67288803"/>
      </c:barChart>
      <c:catAx>
        <c:axId val="78171164"/>
        <c:scaling>
          <c:orientation val="minMax"/>
        </c:scaling>
        <c:delete val="0"/>
        <c:axPos val="b"/>
        <c:numFmt formatCode="[$-419]dd/mm/yyyy" sourceLinked="1"/>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67288803"/>
        <c:crosses val="autoZero"/>
        <c:auto val="1"/>
        <c:lblAlgn val="ctr"/>
        <c:lblOffset val="100"/>
        <c:noMultiLvlLbl val="0"/>
      </c:catAx>
      <c:valAx>
        <c:axId val="67288803"/>
        <c:scaling>
          <c:orientation val="minMax"/>
          <c:max val="1"/>
          <c:min val="0"/>
        </c:scaling>
        <c:delete val="0"/>
        <c:axPos val="l"/>
        <c:majorGridlines>
          <c:spPr>
            <a:ln w="9360">
              <a:solidFill>
                <a:srgbClr val="878787"/>
              </a:solidFill>
              <a:round/>
            </a:ln>
          </c:spPr>
        </c:majorGridlines>
        <c:numFmt formatCode="0%" sourceLinked="0"/>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78171164"/>
        <c:crosses val="autoZero"/>
        <c:crossBetween val="between"/>
      </c:valAx>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Физическое развитие</a:t>
            </a:r>
          </a:p>
        </c:rich>
      </c:tx>
      <c:overlay val="0"/>
      <c:spPr>
        <a:noFill/>
        <a:ln w="0">
          <a:noFill/>
        </a:ln>
      </c:spPr>
    </c:title>
    <c:autoTitleDeleted val="0"/>
    <c:plotArea>
      <c:doughnutChart>
        <c:varyColors val="1"/>
        <c:ser>
          <c:idx val="0"/>
          <c:order val="0"/>
          <c:tx>
            <c:strRef>
              <c:f>label 0</c:f>
              <c:strCache>
                <c:ptCount val="1"/>
                <c:pt idx="0">
                  <c:v>Серия1</c:v>
                </c:pt>
              </c:strCache>
            </c:strRef>
          </c:tx>
          <c:spPr>
            <a:solidFill>
              <a:srgbClr val="4f81bd"/>
            </a:solidFill>
            <a:ln w="0">
              <a:noFill/>
            </a:ln>
          </c:spPr>
          <c:explosion val="0"/>
          <c:dPt>
            <c:idx val="0"/>
            <c:spPr>
              <a:solidFill>
                <a:srgbClr val="4f81bd"/>
              </a:solidFill>
              <a:ln w="0">
                <a:noFill/>
              </a:ln>
            </c:spPr>
          </c:dPt>
          <c:dPt>
            <c:idx val="1"/>
            <c:spPr>
              <a:solidFill>
                <a:srgbClr val="c0504d"/>
              </a:solidFill>
              <a:ln w="0">
                <a:noFill/>
              </a:ln>
            </c:spPr>
          </c:dPt>
          <c:dPt>
            <c:idx val="2"/>
            <c:spPr>
              <a:solidFill>
                <a:srgbClr val="9bbb59"/>
              </a:solidFill>
              <a:ln w="0">
                <a:noFill/>
              </a:ln>
            </c:spPr>
          </c:dPt>
          <c:dLbls>
            <c:dLbl>
              <c:idx val="0"/>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1"/>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2"/>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txPr>
              <a:bodyPr wrap="square"/>
              <a:lstStyle/>
              <a:p>
                <a:pPr>
                  <a:defRPr b="0" sz="1000" spc="-1" strike="noStrike">
                    <a:solidFill>
                      <a:srgbClr val="000000"/>
                    </a:solidFill>
                    <a:latin typeface="Calibri"/>
                  </a:defRPr>
                </a:pPr>
              </a:p>
            </c:txPr>
            <c:showLegendKey val="0"/>
            <c:showVal val="0"/>
            <c:showCatName val="0"/>
            <c:showSerName val="0"/>
            <c:showPercent val="1"/>
            <c:separator>
</c:separator>
            <c:showLeaderLines val="0"/>
          </c:dLbls>
          <c:cat>
            <c:strRef>
              <c:f>categories</c:f>
              <c:strCache>
                <c:ptCount val="3"/>
                <c:pt idx="0">
                  <c:v>высокий</c:v>
                </c:pt>
                <c:pt idx="1">
                  <c:v>средний</c:v>
                </c:pt>
                <c:pt idx="2">
                  <c:v>низкий</c:v>
                </c:pt>
              </c:strCache>
            </c:strRef>
          </c:cat>
          <c:val>
            <c:numRef>
              <c:f>0</c:f>
              <c:numCache>
                <c:formatCode>General</c:formatCode>
                <c:ptCount val="3"/>
                <c:pt idx="0">
                  <c:v>0.07</c:v>
                </c:pt>
                <c:pt idx="1">
                  <c:v>0.41</c:v>
                </c:pt>
                <c:pt idx="2">
                  <c:v>0.22</c:v>
                </c:pt>
              </c:numCache>
            </c:numRef>
          </c:val>
        </c:ser>
        <c:firstSliceAng val="0"/>
        <c:holeSize val="50"/>
      </c:doughnutChart>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2020-2021</a:t>
            </a:r>
          </a:p>
        </c:rich>
      </c:tx>
      <c:overlay val="0"/>
      <c:spPr>
        <a:noFill/>
        <a:ln w="0">
          <a:noFill/>
        </a:ln>
      </c:spPr>
    </c:title>
    <c:autoTitleDeleted val="0"/>
    <c:plotArea>
      <c:barChart>
        <c:barDir val="col"/>
        <c:grouping val="clustered"/>
        <c:varyColors val="0"/>
        <c:ser>
          <c:idx val="0"/>
          <c:order val="0"/>
          <c:tx>
            <c:strRef>
              <c:f>label 0</c:f>
              <c:strCache>
                <c:ptCount val="1"/>
                <c:pt idx="0">
                  <c:v>начало года</c:v>
                </c:pt>
              </c:strCache>
            </c:strRef>
          </c:tx>
          <c:spPr>
            <a:gradFill>
              <a:gsLst>
                <a:gs pos="0">
                  <a:srgbClr val="2e5f99"/>
                </a:gs>
                <a:gs pos="100000">
                  <a:srgbClr val="3c7ac7"/>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ctr"/>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0</c:f>
              <c:numCache>
                <c:formatCode>General</c:formatCode>
                <c:ptCount val="1"/>
                <c:pt idx="0">
                  <c:v>0.44</c:v>
                </c:pt>
              </c:numCache>
            </c:numRef>
          </c:val>
        </c:ser>
        <c:ser>
          <c:idx val="1"/>
          <c:order val="1"/>
          <c:tx>
            <c:strRef>
              <c:f>label 1</c:f>
              <c:strCache>
                <c:ptCount val="1"/>
                <c:pt idx="0">
                  <c:v>конец года</c:v>
                </c:pt>
              </c:strCache>
            </c:strRef>
          </c:tx>
          <c:spPr>
            <a:gradFill>
              <a:gsLst>
                <a:gs pos="0">
                  <a:srgbClr val="9c2f2c"/>
                </a:gs>
                <a:gs pos="100000">
                  <a:srgbClr val="cb3d39"/>
                </a:gs>
              </a:gsLst>
              <a:lin ang="16200000"/>
            </a:gradFill>
            <a:ln w="0">
              <a:noFill/>
            </a:ln>
          </c:spPr>
          <c:invertIfNegative val="0"/>
          <c:dLbls>
            <c:numFmt formatCode="0%" sourceLinked="0"/>
            <c:txPr>
              <a:bodyPr wrap="square"/>
              <a:lstStyle/>
              <a:p>
                <a:pPr>
                  <a:defRPr b="0" sz="1000" spc="-1" strike="noStrike">
                    <a:solidFill>
                      <a:srgbClr val="00000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0"/>
              </c:ext>
            </c:extLst>
          </c:dLbls>
          <c:cat>
            <c:strRef>
              <c:f>categories</c:f>
              <c:strCache>
                <c:ptCount val="1"/>
                <c:pt idx="0">
                  <c:v>1</c:v>
                </c:pt>
              </c:strCache>
            </c:strRef>
          </c:cat>
          <c:val>
            <c:numRef>
              <c:f>1</c:f>
              <c:numCache>
                <c:formatCode>General</c:formatCode>
                <c:ptCount val="1"/>
                <c:pt idx="0">
                  <c:v>0.63</c:v>
                </c:pt>
              </c:numCache>
            </c:numRef>
          </c:val>
        </c:ser>
        <c:gapWidth val="150"/>
        <c:overlap val="0"/>
        <c:axId val="32937567"/>
        <c:axId val="61549903"/>
      </c:barChart>
      <c:catAx>
        <c:axId val="32937567"/>
        <c:scaling>
          <c:orientation val="minMax"/>
        </c:scaling>
        <c:delete val="0"/>
        <c:axPos val="b"/>
        <c:numFmt formatCode="[$-419]dd/mm/yyyy" sourceLinked="1"/>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61549903"/>
        <c:crosses val="autoZero"/>
        <c:auto val="1"/>
        <c:lblAlgn val="ctr"/>
        <c:lblOffset val="100"/>
        <c:noMultiLvlLbl val="0"/>
      </c:catAx>
      <c:valAx>
        <c:axId val="61549903"/>
        <c:scaling>
          <c:orientation val="minMax"/>
          <c:max val="1"/>
          <c:min val="0"/>
        </c:scaling>
        <c:delete val="0"/>
        <c:axPos val="l"/>
        <c:majorGridlines>
          <c:spPr>
            <a:ln w="9360">
              <a:solidFill>
                <a:srgbClr val="878787"/>
              </a:solidFill>
              <a:round/>
            </a:ln>
          </c:spPr>
        </c:majorGridlines>
        <c:numFmt formatCode="0%" sourceLinked="0"/>
        <c:majorTickMark val="out"/>
        <c:minorTickMark val="none"/>
        <c:tickLblPos val="nextTo"/>
        <c:spPr>
          <a:ln w="9360">
            <a:solidFill>
              <a:srgbClr val="878787"/>
            </a:solidFill>
            <a:round/>
          </a:ln>
        </c:spPr>
        <c:txPr>
          <a:bodyPr/>
          <a:lstStyle/>
          <a:p>
            <a:pPr>
              <a:defRPr b="0" sz="1000" spc="-1" strike="noStrike">
                <a:solidFill>
                  <a:srgbClr val="000000"/>
                </a:solidFill>
                <a:latin typeface="Calibri"/>
              </a:defRPr>
            </a:pPr>
          </a:p>
        </c:txPr>
        <c:crossAx val="32937567"/>
        <c:crosses val="autoZero"/>
        <c:crossBetween val="between"/>
      </c:valAx>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200" spc="-1" strike="noStrike">
                <a:solidFill>
                  <a:srgbClr val="000000"/>
                </a:solidFill>
                <a:latin typeface="Calibri"/>
              </a:defRPr>
            </a:pPr>
            <a:r>
              <a:rPr b="1" sz="1200" spc="-1" strike="noStrike">
                <a:solidFill>
                  <a:srgbClr val="000000"/>
                </a:solidFill>
                <a:latin typeface="Calibri"/>
              </a:rPr>
              <a:t>Художественно-эстетическое развитие</a:t>
            </a:r>
          </a:p>
        </c:rich>
      </c:tx>
      <c:overlay val="0"/>
      <c:spPr>
        <a:noFill/>
        <a:ln w="0">
          <a:noFill/>
        </a:ln>
      </c:spPr>
    </c:title>
    <c:autoTitleDeleted val="0"/>
    <c:plotArea>
      <c:doughnutChart>
        <c:varyColors val="1"/>
        <c:ser>
          <c:idx val="0"/>
          <c:order val="0"/>
          <c:tx>
            <c:strRef>
              <c:f>label 0</c:f>
              <c:strCache>
                <c:ptCount val="1"/>
                <c:pt idx="0">
                  <c:v>Серия1</c:v>
                </c:pt>
              </c:strCache>
            </c:strRef>
          </c:tx>
          <c:spPr>
            <a:solidFill>
              <a:srgbClr val="4f81bd"/>
            </a:solidFill>
            <a:ln w="0">
              <a:noFill/>
            </a:ln>
          </c:spPr>
          <c:explosion val="0"/>
          <c:dPt>
            <c:idx val="0"/>
            <c:spPr>
              <a:solidFill>
                <a:srgbClr val="4f81bd"/>
              </a:solidFill>
              <a:ln w="0">
                <a:noFill/>
              </a:ln>
            </c:spPr>
          </c:dPt>
          <c:dPt>
            <c:idx val="1"/>
            <c:spPr>
              <a:solidFill>
                <a:srgbClr val="c0504d"/>
              </a:solidFill>
              <a:ln w="0">
                <a:noFill/>
              </a:ln>
            </c:spPr>
          </c:dPt>
          <c:dPt>
            <c:idx val="2"/>
            <c:spPr>
              <a:solidFill>
                <a:srgbClr val="9bbb59"/>
              </a:solidFill>
              <a:ln w="0">
                <a:noFill/>
              </a:ln>
            </c:spPr>
          </c:dPt>
          <c:dLbls>
            <c:dLbl>
              <c:idx val="0"/>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1"/>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dLbl>
              <c:idx val="2"/>
              <c:txPr>
                <a:bodyPr wrap="square"/>
                <a:lstStyle/>
                <a:p>
                  <a:pPr>
                    <a:defRPr b="0" sz="1000" spc="-1" strike="noStrike">
                      <a:solidFill>
                        <a:srgbClr val="000000"/>
                      </a:solidFill>
                      <a:latin typeface="Calibri"/>
                    </a:defRPr>
                  </a:pPr>
                </a:p>
              </c:txPr>
              <c:showLegendKey val="0"/>
              <c:showVal val="0"/>
              <c:showCatName val="0"/>
              <c:showSerName val="0"/>
              <c:showPercent val="1"/>
              <c:separator>
</c:separator>
            </c:dLbl>
            <c:txPr>
              <a:bodyPr wrap="square"/>
              <a:lstStyle/>
              <a:p>
                <a:pPr>
                  <a:defRPr b="0" sz="1000" spc="-1" strike="noStrike">
                    <a:solidFill>
                      <a:srgbClr val="000000"/>
                    </a:solidFill>
                    <a:latin typeface="Calibri"/>
                  </a:defRPr>
                </a:pPr>
              </a:p>
            </c:txPr>
            <c:showLegendKey val="0"/>
            <c:showVal val="0"/>
            <c:showCatName val="0"/>
            <c:showSerName val="0"/>
            <c:showPercent val="1"/>
            <c:separator>
</c:separator>
            <c:showLeaderLines val="0"/>
          </c:dLbls>
          <c:cat>
            <c:strRef>
              <c:f>categories</c:f>
              <c:strCache>
                <c:ptCount val="3"/>
                <c:pt idx="0">
                  <c:v>высокий</c:v>
                </c:pt>
                <c:pt idx="1">
                  <c:v>средний</c:v>
                </c:pt>
                <c:pt idx="2">
                  <c:v>низкий</c:v>
                </c:pt>
              </c:strCache>
            </c:strRef>
          </c:cat>
          <c:val>
            <c:numRef>
              <c:f>0</c:f>
              <c:numCache>
                <c:formatCode>General</c:formatCode>
                <c:ptCount val="3"/>
                <c:pt idx="0">
                  <c:v>0.01</c:v>
                </c:pt>
                <c:pt idx="1">
                  <c:v>0.62</c:v>
                </c:pt>
                <c:pt idx="2">
                  <c:v>0.37</c:v>
                </c:pt>
              </c:numCache>
            </c:numRef>
          </c:val>
        </c:ser>
        <c:firstSliceAng val="0"/>
        <c:holeSize val="50"/>
      </c:doughnutChart>
      <c:spPr>
        <a:noFill/>
        <a:ln w="9360">
          <a:noFill/>
        </a:ln>
      </c:spPr>
    </c:plotArea>
    <c:legend>
      <c:legendPos val="t"/>
      <c:overlay val="0"/>
      <c:spPr>
        <a:noFill/>
        <a:ln w="0">
          <a:noFill/>
        </a:ln>
      </c:spPr>
      <c:txPr>
        <a:bodyPr/>
        <a:lstStyle/>
        <a:p>
          <a:pPr>
            <a:defRPr b="0"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Application>LibreOffice/7.1.0.3$Windows_X86_64 LibreOffice_project/f6099ecf3d29644b5008cc8f48f42f4a40986e4c</Application>
  <AppVersion>15.0000</AppVersion>
  <Pages>5</Pages>
  <Words>978</Words>
  <Characters>7073</Characters>
  <CharactersWithSpaces>8035</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2023-09-04T13:29:00Z</dcterms:created>
  <dc:creator/>
  <dc:description/>
  <dc:language>ru-RU</dc:language>
  <cp:lastModifiedBy/>
  <dcterms:modified xsi:type="dcterms:W3CDTF">2023-09-11T08:54:48Z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2023-02-21T00:00:00Z</vt:filetime>
  </property>
  <property fmtid="{D5CDD505-2E9C-101B-9397-08002B2CF9AE}" pid="3" name="LastSaved">
    <vt:filetime>2023-09-04T00:00:00Z</vt:filetime>
  </property>
</Properties>
</file>