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403C79" w:rsidRDefault="00403C79" w:rsidP="00403C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948549"/>
          <w:sz w:val="32"/>
          <w:szCs w:val="20"/>
        </w:rPr>
      </w:pPr>
      <w:r w:rsidRPr="00403C79">
        <w:rPr>
          <w:rFonts w:ascii="Times New Roman" w:hAnsi="Times New Roman" w:cs="Times New Roman"/>
          <w:b/>
          <w:bCs/>
          <w:color w:val="948549"/>
          <w:sz w:val="32"/>
          <w:szCs w:val="20"/>
        </w:rPr>
        <w:fldChar w:fldCharType="begin"/>
      </w:r>
      <w:r w:rsidRPr="00403C79">
        <w:rPr>
          <w:rFonts w:ascii="Times New Roman" w:hAnsi="Times New Roman" w:cs="Times New Roman"/>
          <w:b/>
          <w:bCs/>
          <w:color w:val="948549"/>
          <w:sz w:val="32"/>
          <w:szCs w:val="20"/>
        </w:rPr>
        <w:instrText xml:space="preserve"> HYPERLINK "http://raduga49.ucoz.com/publ/stati_pedagoga_psikhologa/pochemu_deti_takie_raznye/5-1-0-120" </w:instrText>
      </w:r>
      <w:r w:rsidRPr="00403C79">
        <w:rPr>
          <w:rFonts w:ascii="Times New Roman" w:hAnsi="Times New Roman" w:cs="Times New Roman"/>
          <w:b/>
          <w:bCs/>
          <w:color w:val="948549"/>
          <w:sz w:val="32"/>
          <w:szCs w:val="20"/>
        </w:rPr>
        <w:fldChar w:fldCharType="separate"/>
      </w:r>
      <w:r w:rsidRPr="00403C79">
        <w:rPr>
          <w:rFonts w:ascii="Times New Roman" w:hAnsi="Times New Roman" w:cs="Times New Roman"/>
          <w:b/>
          <w:bCs/>
          <w:color w:val="008D00"/>
          <w:sz w:val="32"/>
          <w:szCs w:val="20"/>
          <w:u w:val="single"/>
        </w:rPr>
        <w:t>Почему дети такие разные?</w:t>
      </w:r>
      <w:r w:rsidRPr="00403C79">
        <w:rPr>
          <w:rFonts w:ascii="Times New Roman" w:hAnsi="Times New Roman" w:cs="Times New Roman"/>
          <w:b/>
          <w:bCs/>
          <w:color w:val="948549"/>
          <w:sz w:val="32"/>
          <w:szCs w:val="20"/>
        </w:rPr>
        <w:fldChar w:fldCharType="end"/>
      </w:r>
    </w:p>
    <w:p w:rsidR="00403C79" w:rsidRDefault="00403C79" w:rsidP="00403C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948549"/>
          <w:sz w:val="32"/>
          <w:szCs w:val="20"/>
        </w:rPr>
      </w:pPr>
      <w:r>
        <w:rPr>
          <w:rFonts w:ascii="Times New Roman" w:hAnsi="Times New Roman" w:cs="Times New Roman"/>
          <w:b/>
          <w:bCs/>
          <w:color w:val="948549"/>
          <w:sz w:val="32"/>
          <w:szCs w:val="20"/>
        </w:rPr>
        <w:t>Статья педагога-психолога Калашниковой Т.Ф.</w:t>
      </w:r>
    </w:p>
    <w:p w:rsidR="003E6520" w:rsidRPr="00403C79" w:rsidRDefault="003E6520" w:rsidP="00403C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948549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46C9AAAA" wp14:editId="52073AE1">
            <wp:extent cx="3633915" cy="2371130"/>
            <wp:effectExtent l="0" t="0" r="508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34" cy="237127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3C79" w:rsidRDefault="00403C79" w:rsidP="00403C79">
      <w:pPr>
        <w:spacing w:after="0"/>
        <w:ind w:firstLine="709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Нетрудно заметить, что уже в первые годы жизни дети отличаются друг от друга поведением. Одни шустрые, энергичные, другие более пассивные, третьи, хотя и активны, но медлительны. Идеал большинства взрослых – послушный ребенок. Но не к каждому малышу подходит этот эпитет. Драчун и «паинька», «</w:t>
      </w:r>
      <w:proofErr w:type="gramStart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сорви-голова</w:t>
      </w:r>
      <w:proofErr w:type="gramEnd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робкий, боязливый, неумелый, требующий постоянной опеки и вполне самостоятельный – вот какие они разные, наши малыши!</w:t>
      </w:r>
    </w:p>
    <w:p w:rsidR="00EC3D21" w:rsidRP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Отчего же зависят индивидуальные особенности детей? В этом важно разобраться! Многое, безусловно, решает воспитание. Ребенок не рождается </w:t>
      </w:r>
      <w:proofErr w:type="gramStart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</w:t>
      </w:r>
      <w:proofErr w:type="gramEnd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состояние здоровья ребенка. Если малыш ослаблен, много болеет, он может стать вялым, раздражительным, капризным.</w:t>
      </w:r>
    </w:p>
    <w:p w:rsidR="00EC3D21" w:rsidRP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Но ведь есть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Вследствие этого дети очень рано начинают проявлять себя как шустрые или медлительные, энергичные или вялые, более или менее эмоциональные. Один ребенок бурно выражает свои чувства: будучи недоволен, громко плачет и столь же ярко выражает радость, </w:t>
      </w: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заливаясь смехом, приходя в восторг. </w:t>
      </w:r>
      <w:proofErr w:type="gramStart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подобных же обстоятельствах лишь тихонько хнычет или добродушно улыбается.</w:t>
      </w:r>
    </w:p>
    <w:p w:rsidR="00EC3D21" w:rsidRP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Тип высшей нервной деятельности очень устойчив и мало поддается изменениям. Однако надо иметь в виду, что ярко выраженные представители того или иного типа нервной системы встречаются среди детей реже, чем так называемые «переходные». Другими словами, ребенок может проявлять в своем поведении особенности, свойственные как одному, так и другому типу.</w:t>
      </w:r>
    </w:p>
    <w:p w:rsidR="00EC3D21" w:rsidRP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Случается также, что истинный тип высшей нервной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мама не дает возможности активно двигаться. Постепенно он становится малоподвижным, флегматичным.</w:t>
      </w:r>
    </w:p>
    <w:p w:rsidR="00EC3D21" w:rsidRP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Чрезмерная строгость в отношении к ребенку, злоупотребление наказаниями, постоянные запреты также могут привести к маскировке типа высшей нервной деятельности, при которой ребенок с сильными нервными процессами, подвижный может стать робким, тихим, малоактивным. Однако в первые годы жизни типологические особенности проявляются наиболее отчетливо.</w:t>
      </w:r>
    </w:p>
    <w:p w:rsid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«Уравновешенный ребенок»</w:t>
      </w:r>
    </w:p>
    <w:p w:rsidR="00FD0F6C" w:rsidRPr="00EC3D21" w:rsidRDefault="0036175F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t xml:space="preserve">                                           </w:t>
      </w:r>
      <w:r w:rsidR="00FD0F6C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02B324C4" wp14:editId="6C09AC1F">
            <wp:extent cx="2819400" cy="1762126"/>
            <wp:effectExtent l="0" t="0" r="0" b="9525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541" cy="176533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3D21" w:rsidRP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 </w:t>
      </w: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сильными, уравновешенными нервными процессами, чаще всего настроены бодро, плачут изредка и не без существенной (с их «точки зрения») причины, а при ее устранении быстро успокаиваются. У них преобладают положительные эмоции – радость, удовольствие. Сон глубок и продолжителен. Такой ребенок легко вступает в контакт </w:t>
      </w:r>
      <w:proofErr w:type="gramStart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детьми, не боится новых людей, что благоприятствует формированию общительности. Однако, если родители, добиваясь послушания, будут запугивать малыша, он может стать боязливым, замкнутым, плаксивым.</w:t>
      </w:r>
    </w:p>
    <w:p w:rsidR="00D95B05" w:rsidRDefault="00D95B05" w:rsidP="00EC3D2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95B05" w:rsidRDefault="00D95B05" w:rsidP="00EC3D2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95B05" w:rsidRDefault="00D95B05" w:rsidP="00EC3D2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95B05" w:rsidRDefault="00D95B05" w:rsidP="00EC3D2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 «Шустрики» </w:t>
      </w:r>
    </w:p>
    <w:p w:rsidR="002F05C1" w:rsidRPr="00EC3D21" w:rsidRDefault="00D95B05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t xml:space="preserve">                                        </w:t>
      </w:r>
      <w:r w:rsidR="002F05C1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10332017" wp14:editId="6689C1CF">
            <wp:extent cx="2733675" cy="1822450"/>
            <wp:effectExtent l="0" t="0" r="9525" b="635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15" cy="18214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3D21" w:rsidRP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  </w:t>
      </w: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таких детей процесс возбуждения сильнее, чем процесс торможения (условно назовем их легковозбудимыми). Особенностью их физического развития на первом году жизни является неравномерное увеличение веса по месяцам – то в пределах нормы, то ниже ее.</w:t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приближении времени кормления такие младенцы обычно проявляют большую нетерпеливость: громко и продолжительно плачут. Приняв небольшое количество пищи и утолив голод, может тут же уснуть. Сон таких детей неглубокий, чуткий. Малейший разговор, даже шорохи в комнате, где спит ребенок, могут разбудить его.</w:t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таких детей обычно легко формируется общительность. Они быстро вступают в контакт с незнакомыми детьми, но нередко являются и зачинщиками конфликтов, так как им труднее, чем другим детям, сдерживать свои желания и побуждения. Понравилась лопатка, которую держит в руках сосед, тут же тянет ее к себе; на бегу толкает кого-то Он и не хотел этого, но его вечная неугомонность делает его «без вины виноватым».</w:t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таких маленьких непосед, надо особые усилия направлять на развитие у них выдержки, положительных взаимоотношений с детьми и взрослыми, интереса к занятиям, требующим усидчивости, устойчивого внимания. Этого можно добиться своей эмоциональностью, искренней заинтересованностью, одобрением самых небольших успехов малыша.</w:t>
      </w:r>
    </w:p>
    <w:p w:rsidR="00EC3D21" w:rsidRP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spellStart"/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Мямлики</w:t>
      </w:r>
      <w:proofErr w:type="spellEnd"/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Нервные процессы этих детей характеризуются преобладанием торможения. Они медлительны, невозмутимы, благодаря ровному, спокойному поведению не доставляют обычно хлопот. Но некоторых взрослых (холериков), которые сами привыкли все делать в быстром темпе, могут раздражать своей медлительностью. Ребенку надо помочь преодолеть присущую ему инертность, а не сердиться за медлительность.</w:t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этого типа нередко имеют вес, превышающий средние нормы, хороший устойчивый аппетит. Едят медленно, обстоятельно. Сон их глубок и продолжителен. А вот активности им порой не хватает. Заметив это, </w:t>
      </w: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взрослые должны чаще побуждать малыша к разнообразной деятельности, к проявлению самостоятельности. Не следует делать за ребенка то, что он может выполнить сам, хотя и не так быстро, как этого хотелось бы взрослым. Проявите чуточку терпения! Ребенка порадует и подбодрит похвала взрослого, одобрение пусть самых малых его успехов.</w:t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некоторым взрослым нравятся медлительность и невозмутимость ребенка, и они не стараются преодолеть его инертность. Ведь такой ребенок не доставляет много хлопот, в общем-то, это удобно! Но следует в таком случае подумать и о его будущем. Пройдет время, малыш подрастет и станет школьником. Его медлительность может мешать ему в учении, а неловкость и нерасторопность в играх сделают его предметом насмешек сверстников.</w:t>
      </w:r>
    </w:p>
    <w:p w:rsidR="00EC3D21" w:rsidRDefault="00EC3D21" w:rsidP="00EC3D2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«Впечатлительные дети»</w:t>
      </w:r>
    </w:p>
    <w:p w:rsidR="00D95B05" w:rsidRPr="00EC3D21" w:rsidRDefault="0036175F" w:rsidP="00EC3D2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t xml:space="preserve">                                         </w:t>
      </w:r>
      <w:bookmarkStart w:id="0" w:name="_GoBack"/>
      <w:bookmarkEnd w:id="0"/>
      <w:r w:rsidR="00D95B05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5AAAB4F6" wp14:editId="0E40630E">
            <wp:extent cx="3305175" cy="2206204"/>
            <wp:effectExtent l="0" t="0" r="0" b="381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34" cy="221078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дети требуют особого ухода, потому что их тип нервной системы условно называют слабым. Эти дети очень чувствительны ко всему происходящему вокруг, они чутко реагируют на настроение окружающих, а их собственное настроение отличается неустойчивостью. Самые малозаметные причины могут огорчать их и вызывать плач. Если такого ребенка ничто не беспокоит, он приветлив. Радость выражает улыбкой или тихим смехом, а будучи недоволен чем-то, хнычет, стараясь привлечь внимание взрослых. Это деликатные дети, не требовательные, но остро переживающие малейшие обиды. Они быстрее, чем другие утомляются, что особенно заметно у самых маленьких. Сон их неглубок, потому что для полноценного отдыха им нужно создавать спокойную обстановку, по возможности исключать шумы.</w:t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Подрастая, такие дети могут чувствовать себя неуютно в обществе сверстников: то кто-то толкнул его, то сломал песочный пирожок, то взял формочку. Для других детей это может и не иметь значения: толкнули – он отошел, сделал другой пирожок, взял свою формочку, а нашему малышу – </w:t>
      </w: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слабышу</w:t>
      </w:r>
      <w:proofErr w:type="spellEnd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небезразлично, он огорчается и старается уединиться. Такие дети более остро реагируют на все новое: могут пугаться непривычной обстановки, незнакомых взрослых, большого количества других детей. Зачастую именно они трудно и болезненно переносят поступление в ясли или детский сад. К этому событию их нужно готовить особенно тщательно. Задача взрослых – помочь такому ребенку войти в детское общество.</w:t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ребенка не стоит излишне опекать, так как это только изнежит его, сделает неуравновешенным, робким. Подбадривая, поощряя похвалой, надо </w:t>
      </w:r>
      <w:proofErr w:type="gramStart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ему преодолевать</w:t>
      </w:r>
      <w:proofErr w:type="gramEnd"/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боязнь. Пусть больше двигается, выполняет поручения взрослых, обращается по их заданию к другим детям и взрослым с вопросами и просьбами, приобщается к самостоятельности. Первые успехи окрыляют малыша, он становится все смелее и решительнее.</w:t>
      </w:r>
    </w:p>
    <w:p w:rsidR="00EC3D21" w:rsidRPr="00EC3D21" w:rsidRDefault="00EC3D21" w:rsidP="00EC3D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C3D21" w:rsidRPr="00EC3D21" w:rsidRDefault="00EC3D21" w:rsidP="00EC3D2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Очень важна совместная работа родителей и воспитателей. Рассказывая воспитателям об интересах, привычках своих детей, о состоянии их здоровья, об уровне развития, о том, как спит ребенок, любит ли он играть, трудиться, родители способствуют развитию открытых и доверительных отношений с педагогами, помогают воспитателю найти индивидуальный подход к ребенку.</w:t>
      </w:r>
    </w:p>
    <w:p w:rsidR="00EC3D21" w:rsidRPr="00EC3D21" w:rsidRDefault="00EC3D21" w:rsidP="00EC3D2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D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131BCE" w:rsidRPr="00403C79" w:rsidRDefault="00131BCE">
      <w:pPr>
        <w:rPr>
          <w:rFonts w:ascii="Times New Roman" w:hAnsi="Times New Roman" w:cs="Times New Roman"/>
        </w:rPr>
      </w:pPr>
    </w:p>
    <w:sectPr w:rsidR="00131BCE" w:rsidRPr="0040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26"/>
    <w:rsid w:val="00131BCE"/>
    <w:rsid w:val="001C7026"/>
    <w:rsid w:val="002F05C1"/>
    <w:rsid w:val="0036175F"/>
    <w:rsid w:val="003E6520"/>
    <w:rsid w:val="00403C79"/>
    <w:rsid w:val="007A7D5B"/>
    <w:rsid w:val="00D95B05"/>
    <w:rsid w:val="00EC3D21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9</cp:revision>
  <dcterms:created xsi:type="dcterms:W3CDTF">2020-03-19T06:49:00Z</dcterms:created>
  <dcterms:modified xsi:type="dcterms:W3CDTF">2020-03-19T07:04:00Z</dcterms:modified>
</cp:coreProperties>
</file>