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C0" w:rsidRDefault="00C53E05" w:rsidP="00C53E05">
      <w:pPr>
        <w:ind w:left="-79"/>
        <w:jc w:val="center"/>
        <w:rPr>
          <w:rFonts w:ascii="Times New Roman" w:hAnsi="Times New Roman" w:cs="Times New Roman"/>
          <w:b/>
        </w:rPr>
      </w:pPr>
      <w:r w:rsidRPr="00E0715B">
        <w:rPr>
          <w:rFonts w:ascii="Times New Roman" w:hAnsi="Times New Roman" w:cs="Times New Roman"/>
          <w:b/>
        </w:rPr>
        <w:t xml:space="preserve">Стабильные положительные </w:t>
      </w:r>
      <w:r>
        <w:rPr>
          <w:rFonts w:ascii="Times New Roman" w:hAnsi="Times New Roman" w:cs="Times New Roman"/>
          <w:b/>
        </w:rPr>
        <w:t>результаты освоения воспитанниками</w:t>
      </w:r>
      <w:r w:rsidRPr="00E0715B">
        <w:rPr>
          <w:rFonts w:ascii="Times New Roman" w:hAnsi="Times New Roman" w:cs="Times New Roman"/>
          <w:b/>
        </w:rPr>
        <w:t xml:space="preserve"> образовательных </w:t>
      </w:r>
      <w:r w:rsidRPr="00036A8C">
        <w:rPr>
          <w:rFonts w:ascii="Times New Roman" w:hAnsi="Times New Roman" w:cs="Times New Roman"/>
          <w:b/>
        </w:rPr>
        <w:t>программ</w:t>
      </w:r>
      <w:r w:rsidRPr="00E0715B">
        <w:rPr>
          <w:rFonts w:ascii="Times New Roman" w:hAnsi="Times New Roman" w:cs="Times New Roman"/>
          <w:b/>
        </w:rPr>
        <w:t xml:space="preserve"> по итогам монит</w:t>
      </w:r>
      <w:r w:rsidR="008358C0">
        <w:rPr>
          <w:rFonts w:ascii="Times New Roman" w:hAnsi="Times New Roman" w:cs="Times New Roman"/>
          <w:b/>
        </w:rPr>
        <w:t xml:space="preserve">орингов, проводимых </w:t>
      </w:r>
    </w:p>
    <w:p w:rsidR="00C53E05" w:rsidRDefault="008358C0" w:rsidP="00C53E05">
      <w:pPr>
        <w:ind w:left="-7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в средней группе</w:t>
      </w:r>
    </w:p>
    <w:p w:rsidR="00C53E05" w:rsidRPr="00A3564E" w:rsidRDefault="00B97544" w:rsidP="00C53E05">
      <w:pPr>
        <w:jc w:val="center"/>
      </w:pPr>
      <w:r>
        <w:rPr>
          <w:rFonts w:ascii="Times New Roman" w:hAnsi="Times New Roman" w:cs="Times New Roman"/>
          <w:b/>
        </w:rPr>
        <w:t>2020-2021</w:t>
      </w:r>
      <w:r w:rsidR="00C53E05">
        <w:rPr>
          <w:rFonts w:ascii="Times New Roman" w:hAnsi="Times New Roman" w:cs="Times New Roman"/>
          <w:b/>
        </w:rPr>
        <w:t>уч</w:t>
      </w:r>
      <w:proofErr w:type="gramStart"/>
      <w:r w:rsidR="00C53E05">
        <w:rPr>
          <w:rFonts w:ascii="Times New Roman" w:hAnsi="Times New Roman" w:cs="Times New Roman"/>
          <w:b/>
        </w:rPr>
        <w:t>.г</w:t>
      </w:r>
      <w:proofErr w:type="gramEnd"/>
      <w:r w:rsidR="00C53E05">
        <w:rPr>
          <w:rFonts w:ascii="Times New Roman" w:hAnsi="Times New Roman" w:cs="Times New Roman"/>
          <w:b/>
        </w:rPr>
        <w:t>од</w:t>
      </w:r>
    </w:p>
    <w:tbl>
      <w:tblPr>
        <w:tblStyle w:val="a5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451"/>
        <w:gridCol w:w="1456"/>
      </w:tblGrid>
      <w:tr w:rsidR="00C53E05" w:rsidTr="00572D38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C53E05" w:rsidRPr="00486F0A" w:rsidRDefault="00C53E05" w:rsidP="00572D38">
            <w:r>
              <w:t>Группа</w:t>
            </w:r>
            <w:r>
              <w:rPr>
                <w:lang w:val="en-US"/>
              </w:rPr>
              <w:t>/</w:t>
            </w:r>
            <w:r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C53E05" w:rsidRDefault="00C53E05" w:rsidP="00572D38">
            <w:r>
              <w:t>Речевое развитие</w:t>
            </w:r>
          </w:p>
          <w:p w:rsidR="00C53E05" w:rsidRDefault="00C53E05" w:rsidP="00572D38"/>
          <w:p w:rsidR="00C53E05" w:rsidRDefault="00C53E05" w:rsidP="00572D38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53E05" w:rsidRDefault="00C53E05" w:rsidP="00572D38">
            <w:pPr>
              <w:jc w:val="center"/>
            </w:pPr>
            <w:r>
              <w:t>Познавательное развитие</w:t>
            </w:r>
          </w:p>
          <w:p w:rsidR="00C53E05" w:rsidRDefault="00C53E05" w:rsidP="00572D38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53E05" w:rsidRDefault="00C53E05" w:rsidP="00572D38">
            <w:pPr>
              <w:jc w:val="center"/>
            </w:pPr>
            <w:r>
              <w:t>Физическое развитие</w:t>
            </w:r>
          </w:p>
          <w:p w:rsidR="00C53E05" w:rsidRDefault="00C53E05" w:rsidP="00572D38">
            <w:r>
              <w:t xml:space="preserve"> 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C53E05" w:rsidRDefault="00C53E05" w:rsidP="00572D38">
            <w:pPr>
              <w:jc w:val="center"/>
            </w:pPr>
            <w:r>
              <w:rPr>
                <w:rFonts w:ascii="Times New Roman" w:hAnsi="Times New Roman" w:cs="Times New Roman"/>
              </w:rPr>
              <w:t>Социально-комму</w:t>
            </w:r>
            <w:r w:rsidRPr="008A5724">
              <w:rPr>
                <w:rFonts w:ascii="Times New Roman" w:hAnsi="Times New Roman" w:cs="Times New Roman"/>
              </w:rPr>
              <w:t>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C53E05" w:rsidRDefault="00C53E05" w:rsidP="00572D38">
            <w:pPr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C53E05" w:rsidRDefault="00C53E05" w:rsidP="00572D38"/>
        </w:tc>
      </w:tr>
      <w:tr w:rsidR="00C53E05" w:rsidTr="00572D38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C53E05" w:rsidRDefault="00C53E05" w:rsidP="00572D38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C53E05" w:rsidRDefault="00C53E05" w:rsidP="00572D38">
            <w:r>
              <w:t xml:space="preserve">сентябрь        апрель 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C53E05" w:rsidRDefault="00C53E05" w:rsidP="00572D38">
            <w:r>
              <w:t xml:space="preserve">сентябрь    апрель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C53E05" w:rsidRDefault="00C53E05" w:rsidP="00572D38">
            <w:r>
              <w:t xml:space="preserve">сентябрь    апрель   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C53E05" w:rsidRDefault="00C53E05" w:rsidP="00572D38">
            <w:pPr>
              <w:rPr>
                <w:rFonts w:ascii="Times New Roman" w:hAnsi="Times New Roman" w:cs="Times New Roman"/>
              </w:rPr>
            </w:pPr>
            <w:r>
              <w:t>сентябрь      апрель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C53E05" w:rsidRPr="008A5724" w:rsidRDefault="00C53E05" w:rsidP="00572D38">
            <w:pPr>
              <w:rPr>
                <w:rFonts w:ascii="Times New Roman" w:hAnsi="Times New Roman" w:cs="Times New Roman"/>
              </w:rPr>
            </w:pPr>
            <w:r>
              <w:t xml:space="preserve"> сентябрь                    апрель</w:t>
            </w:r>
          </w:p>
        </w:tc>
      </w:tr>
      <w:tr w:rsidR="00C53E05" w:rsidTr="00572D38">
        <w:trPr>
          <w:trHeight w:val="894"/>
          <w:jc w:val="center"/>
        </w:trPr>
        <w:tc>
          <w:tcPr>
            <w:tcW w:w="1926" w:type="dxa"/>
          </w:tcPr>
          <w:p w:rsidR="00C53E05" w:rsidRDefault="00C53E05" w:rsidP="00572D38">
            <w:r>
              <w:t>2 младшая</w:t>
            </w:r>
          </w:p>
        </w:tc>
        <w:tc>
          <w:tcPr>
            <w:tcW w:w="1159" w:type="dxa"/>
          </w:tcPr>
          <w:p w:rsidR="00C53E05" w:rsidRDefault="00C53E05" w:rsidP="00572D38">
            <w:pPr>
              <w:jc w:val="center"/>
            </w:pPr>
            <w:r>
              <w:t>В.у-18%</w:t>
            </w:r>
          </w:p>
          <w:p w:rsidR="00C53E05" w:rsidRDefault="00C53E05" w:rsidP="00572D38">
            <w:pPr>
              <w:jc w:val="center"/>
            </w:pPr>
            <w:r>
              <w:t>С.у-70%</w:t>
            </w:r>
          </w:p>
          <w:p w:rsidR="00C53E05" w:rsidRDefault="00C53E05" w:rsidP="00572D38">
            <w:pPr>
              <w:jc w:val="center"/>
            </w:pPr>
            <w:r>
              <w:t>Н.у-12%</w:t>
            </w:r>
          </w:p>
        </w:tc>
        <w:tc>
          <w:tcPr>
            <w:tcW w:w="992" w:type="dxa"/>
          </w:tcPr>
          <w:p w:rsidR="00C53E05" w:rsidRDefault="00C53E05" w:rsidP="00572D38">
            <w:pPr>
              <w:jc w:val="center"/>
            </w:pPr>
            <w:r>
              <w:t>В.у-25%</w:t>
            </w:r>
          </w:p>
          <w:p w:rsidR="00C53E05" w:rsidRDefault="00C53E05" w:rsidP="00572D38">
            <w:pPr>
              <w:jc w:val="center"/>
            </w:pPr>
            <w:r>
              <w:t>С.у-69%</w:t>
            </w:r>
          </w:p>
          <w:p w:rsidR="00C53E05" w:rsidRDefault="00C53E05" w:rsidP="00572D38">
            <w:pPr>
              <w:jc w:val="center"/>
            </w:pPr>
            <w:r>
              <w:t>Н.у-6%</w:t>
            </w:r>
          </w:p>
          <w:p w:rsidR="00C53E05" w:rsidRDefault="00C53E05" w:rsidP="00572D38">
            <w:pPr>
              <w:jc w:val="center"/>
            </w:pPr>
          </w:p>
        </w:tc>
        <w:tc>
          <w:tcPr>
            <w:tcW w:w="993" w:type="dxa"/>
          </w:tcPr>
          <w:p w:rsidR="00C53E05" w:rsidRDefault="00C53E05" w:rsidP="00572D38">
            <w:pPr>
              <w:jc w:val="center"/>
            </w:pPr>
            <w:r>
              <w:t>В.у-19%</w:t>
            </w:r>
          </w:p>
          <w:p w:rsidR="00C53E05" w:rsidRDefault="00C53E05" w:rsidP="00572D38">
            <w:pPr>
              <w:jc w:val="center"/>
            </w:pPr>
            <w:r>
              <w:t>С.у-64%</w:t>
            </w:r>
          </w:p>
          <w:p w:rsidR="00C53E05" w:rsidRDefault="00C53E05" w:rsidP="00572D38">
            <w:pPr>
              <w:jc w:val="center"/>
            </w:pPr>
            <w:r>
              <w:t>Н.у-17%</w:t>
            </w:r>
          </w:p>
        </w:tc>
        <w:tc>
          <w:tcPr>
            <w:tcW w:w="992" w:type="dxa"/>
          </w:tcPr>
          <w:p w:rsidR="00C53E05" w:rsidRDefault="00C53E05" w:rsidP="00572D38">
            <w:pPr>
              <w:jc w:val="center"/>
            </w:pPr>
            <w:r>
              <w:t>В.у-27%</w:t>
            </w:r>
          </w:p>
          <w:p w:rsidR="00C53E05" w:rsidRDefault="00C53E05" w:rsidP="00572D38">
            <w:pPr>
              <w:jc w:val="center"/>
            </w:pPr>
            <w:r>
              <w:t>С.у-68%</w:t>
            </w:r>
          </w:p>
          <w:p w:rsidR="00C53E05" w:rsidRDefault="00C53E05" w:rsidP="00572D38">
            <w:pPr>
              <w:jc w:val="center"/>
            </w:pPr>
            <w:r>
              <w:t>Н.у-5%</w:t>
            </w:r>
          </w:p>
        </w:tc>
        <w:tc>
          <w:tcPr>
            <w:tcW w:w="992" w:type="dxa"/>
          </w:tcPr>
          <w:p w:rsidR="00C53E05" w:rsidRDefault="00C53E05" w:rsidP="00572D38">
            <w:pPr>
              <w:jc w:val="center"/>
            </w:pPr>
            <w:r>
              <w:t>В.у-25%</w:t>
            </w:r>
          </w:p>
          <w:p w:rsidR="00C53E05" w:rsidRDefault="00C53E05" w:rsidP="00572D38">
            <w:pPr>
              <w:jc w:val="center"/>
            </w:pPr>
            <w:r>
              <w:t>С.у-60%</w:t>
            </w:r>
          </w:p>
          <w:p w:rsidR="00C53E05" w:rsidRDefault="00C53E05" w:rsidP="00572D38">
            <w:pPr>
              <w:jc w:val="center"/>
            </w:pPr>
            <w:r>
              <w:t>Н.у-15%</w:t>
            </w:r>
          </w:p>
        </w:tc>
        <w:tc>
          <w:tcPr>
            <w:tcW w:w="1134" w:type="dxa"/>
          </w:tcPr>
          <w:p w:rsidR="00C53E05" w:rsidRDefault="00C53E05" w:rsidP="00572D38">
            <w:pPr>
              <w:jc w:val="center"/>
            </w:pPr>
            <w:r>
              <w:t>В.у-30%</w:t>
            </w:r>
          </w:p>
          <w:p w:rsidR="00C53E05" w:rsidRDefault="00C53E05" w:rsidP="00572D38">
            <w:pPr>
              <w:jc w:val="center"/>
            </w:pPr>
            <w:r>
              <w:t>С.у-65%</w:t>
            </w:r>
          </w:p>
          <w:p w:rsidR="00C53E05" w:rsidRDefault="00C53E05" w:rsidP="00572D38">
            <w:pPr>
              <w:jc w:val="center"/>
            </w:pPr>
            <w:r>
              <w:t>Н.у-5%</w:t>
            </w:r>
          </w:p>
        </w:tc>
        <w:tc>
          <w:tcPr>
            <w:tcW w:w="992" w:type="dxa"/>
          </w:tcPr>
          <w:p w:rsidR="00C53E05" w:rsidRDefault="00C53E05" w:rsidP="00572D38">
            <w:pPr>
              <w:jc w:val="center"/>
            </w:pPr>
            <w:r>
              <w:t>В.у-12%</w:t>
            </w:r>
          </w:p>
          <w:p w:rsidR="00C53E05" w:rsidRDefault="00C53E05" w:rsidP="00572D38">
            <w:pPr>
              <w:jc w:val="center"/>
            </w:pPr>
            <w:r>
              <w:t>С.у-68%</w:t>
            </w:r>
          </w:p>
          <w:p w:rsidR="00C53E05" w:rsidRDefault="00C53E05" w:rsidP="00572D38">
            <w:pPr>
              <w:jc w:val="center"/>
            </w:pPr>
            <w:r>
              <w:t>Н.у-20%</w:t>
            </w:r>
          </w:p>
        </w:tc>
        <w:tc>
          <w:tcPr>
            <w:tcW w:w="1204" w:type="dxa"/>
          </w:tcPr>
          <w:p w:rsidR="00C53E05" w:rsidRDefault="00C53E05" w:rsidP="00572D38">
            <w:pPr>
              <w:jc w:val="center"/>
            </w:pPr>
            <w:r>
              <w:t>В.у-24%</w:t>
            </w:r>
          </w:p>
          <w:p w:rsidR="00C53E05" w:rsidRDefault="00C53E05" w:rsidP="00572D38">
            <w:pPr>
              <w:jc w:val="center"/>
            </w:pPr>
            <w:r>
              <w:t>С.у-71%</w:t>
            </w:r>
          </w:p>
          <w:p w:rsidR="00C53E05" w:rsidRDefault="00C53E05" w:rsidP="00572D38">
            <w:pPr>
              <w:jc w:val="center"/>
            </w:pPr>
            <w:r>
              <w:t>Н.у-5%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C53E05" w:rsidRDefault="00C53E05" w:rsidP="00572D38">
            <w:pPr>
              <w:jc w:val="center"/>
            </w:pPr>
            <w:r>
              <w:t>В.у-15%</w:t>
            </w:r>
          </w:p>
          <w:p w:rsidR="00C53E05" w:rsidRDefault="00C53E05" w:rsidP="00572D38">
            <w:pPr>
              <w:jc w:val="center"/>
            </w:pPr>
            <w:r>
              <w:t>С.у-55%</w:t>
            </w:r>
          </w:p>
          <w:p w:rsidR="00C53E05" w:rsidRDefault="00C53E05" w:rsidP="00572D38">
            <w:pPr>
              <w:jc w:val="center"/>
            </w:pPr>
            <w:r>
              <w:t>Н.у-29%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C53E05" w:rsidRDefault="00C53E05" w:rsidP="00572D38">
            <w:pPr>
              <w:jc w:val="center"/>
            </w:pPr>
            <w:r>
              <w:t>В.у-25%</w:t>
            </w:r>
          </w:p>
          <w:p w:rsidR="00C53E05" w:rsidRDefault="00C53E05" w:rsidP="00572D38">
            <w:pPr>
              <w:jc w:val="center"/>
            </w:pPr>
            <w:r>
              <w:t>С.у-69%</w:t>
            </w:r>
          </w:p>
          <w:p w:rsidR="00C53E05" w:rsidRDefault="00C53E05" w:rsidP="00572D38">
            <w:pPr>
              <w:jc w:val="center"/>
            </w:pPr>
            <w:r>
              <w:t>Н.у-6%</w:t>
            </w:r>
          </w:p>
        </w:tc>
      </w:tr>
    </w:tbl>
    <w:p w:rsidR="00C53E05" w:rsidRDefault="00C53E05" w:rsidP="00C53E05">
      <w:pPr>
        <w:jc w:val="center"/>
      </w:pPr>
    </w:p>
    <w:p w:rsidR="00C53E05" w:rsidRPr="0096522C" w:rsidRDefault="00C53E05" w:rsidP="00C53E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522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C53E05" w:rsidRDefault="00C53E05" w:rsidP="00C53E05">
      <w:pPr>
        <w:jc w:val="center"/>
      </w:pPr>
      <w:r>
        <w:rPr>
          <w:noProof/>
        </w:rPr>
        <w:drawing>
          <wp:inline distT="0" distB="0" distL="0" distR="0" wp14:anchorId="55C4B41C" wp14:editId="763E8B82">
            <wp:extent cx="3771900" cy="19621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53E05" w:rsidRDefault="00C53E05" w:rsidP="00C53E05">
      <w:pPr>
        <w:jc w:val="center"/>
      </w:pPr>
    </w:p>
    <w:p w:rsidR="00C53E05" w:rsidRDefault="00C53E05" w:rsidP="00C53E05">
      <w:pPr>
        <w:jc w:val="center"/>
      </w:pPr>
    </w:p>
    <w:p w:rsidR="00C53E05" w:rsidRDefault="00C53E05" w:rsidP="00C53E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3E05" w:rsidRDefault="00C53E05" w:rsidP="00C53E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3E05" w:rsidRPr="0096522C" w:rsidRDefault="00C53E05" w:rsidP="00C53E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522C">
        <w:rPr>
          <w:rFonts w:ascii="Times New Roman" w:hAnsi="Times New Roman" w:cs="Times New Roman"/>
          <w:b/>
          <w:sz w:val="36"/>
          <w:szCs w:val="36"/>
        </w:rPr>
        <w:lastRenderedPageBreak/>
        <w:t>Познавательное развитие</w:t>
      </w:r>
    </w:p>
    <w:p w:rsidR="00C53E05" w:rsidRPr="00134E38" w:rsidRDefault="00C53E05" w:rsidP="00C53E05">
      <w:pPr>
        <w:jc w:val="center"/>
        <w:rPr>
          <w:b/>
          <w:sz w:val="28"/>
          <w:szCs w:val="28"/>
        </w:rPr>
      </w:pPr>
    </w:p>
    <w:p w:rsidR="00C53E05" w:rsidRDefault="00C53E05" w:rsidP="00C53E05">
      <w:pPr>
        <w:jc w:val="center"/>
      </w:pPr>
      <w:r w:rsidRPr="00D136FB">
        <w:rPr>
          <w:noProof/>
        </w:rPr>
        <w:drawing>
          <wp:inline distT="0" distB="0" distL="0" distR="0" wp14:anchorId="587AF0C3" wp14:editId="7F735076">
            <wp:extent cx="3771900" cy="20669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53E05" w:rsidRDefault="00C53E05" w:rsidP="00C53E05">
      <w:pPr>
        <w:jc w:val="center"/>
      </w:pPr>
    </w:p>
    <w:p w:rsidR="00C53E05" w:rsidRPr="0096522C" w:rsidRDefault="00C53E05" w:rsidP="00C53E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522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C53E05" w:rsidRPr="00134E38" w:rsidRDefault="00C53E05" w:rsidP="00C53E05">
      <w:pPr>
        <w:jc w:val="center"/>
        <w:rPr>
          <w:b/>
          <w:sz w:val="28"/>
          <w:szCs w:val="28"/>
        </w:rPr>
      </w:pPr>
    </w:p>
    <w:p w:rsidR="00C53E05" w:rsidRDefault="00C53E05" w:rsidP="00C53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FB">
        <w:rPr>
          <w:noProof/>
        </w:rPr>
        <w:drawing>
          <wp:inline distT="0" distB="0" distL="0" distR="0" wp14:anchorId="05E2C717" wp14:editId="67FC7985">
            <wp:extent cx="3838575" cy="200977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3E05" w:rsidRDefault="00C53E05" w:rsidP="00C53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05" w:rsidRDefault="00C53E05" w:rsidP="00C53E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522C"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C53E05" w:rsidRPr="00134E38" w:rsidRDefault="00C53E05" w:rsidP="00C53E05">
      <w:pPr>
        <w:jc w:val="center"/>
        <w:rPr>
          <w:sz w:val="28"/>
          <w:szCs w:val="28"/>
        </w:rPr>
      </w:pPr>
    </w:p>
    <w:p w:rsidR="00C53E05" w:rsidRDefault="00C53E05" w:rsidP="00C53E05">
      <w:pPr>
        <w:jc w:val="center"/>
        <w:rPr>
          <w:b/>
          <w:sz w:val="32"/>
          <w:szCs w:val="32"/>
        </w:rPr>
      </w:pPr>
      <w:r w:rsidRPr="00D136FB">
        <w:rPr>
          <w:b/>
          <w:noProof/>
          <w:sz w:val="32"/>
          <w:szCs w:val="32"/>
        </w:rPr>
        <w:drawing>
          <wp:inline distT="0" distB="0" distL="0" distR="0" wp14:anchorId="5BCEDE0C" wp14:editId="2A29606E">
            <wp:extent cx="3905250" cy="2057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3E05" w:rsidRDefault="00C53E05" w:rsidP="00C53E05">
      <w:pPr>
        <w:jc w:val="center"/>
        <w:rPr>
          <w:b/>
          <w:sz w:val="32"/>
          <w:szCs w:val="32"/>
        </w:rPr>
      </w:pPr>
    </w:p>
    <w:p w:rsidR="00C53E05" w:rsidRPr="0096522C" w:rsidRDefault="00C53E05" w:rsidP="00C53E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522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C53E05" w:rsidRPr="00BB2C85" w:rsidRDefault="00C53E05" w:rsidP="00C53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E05" w:rsidRDefault="00C53E05" w:rsidP="00C53E05">
      <w:pPr>
        <w:jc w:val="center"/>
      </w:pPr>
      <w:r w:rsidRPr="009B16F0">
        <w:rPr>
          <w:noProof/>
        </w:rPr>
        <w:drawing>
          <wp:inline distT="0" distB="0" distL="0" distR="0" wp14:anchorId="10652F49" wp14:editId="14D3B666">
            <wp:extent cx="3762375" cy="203835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3E05" w:rsidRDefault="00C53E05" w:rsidP="00C53E05">
      <w:pPr>
        <w:jc w:val="center"/>
      </w:pPr>
    </w:p>
    <w:p w:rsidR="00C53E05" w:rsidRDefault="00C53E05" w:rsidP="00C53E05">
      <w:pPr>
        <w:jc w:val="center"/>
      </w:pPr>
    </w:p>
    <w:p w:rsidR="00C53E05" w:rsidRPr="0096522C" w:rsidRDefault="00C53E05" w:rsidP="00C53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22C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96522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53E05" w:rsidRPr="0096522C" w:rsidRDefault="00B97544" w:rsidP="00C53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2020г. В группе</w:t>
      </w:r>
      <w:r w:rsidR="00C53E05" w:rsidRPr="0096522C">
        <w:rPr>
          <w:rFonts w:ascii="Times New Roman" w:hAnsi="Times New Roman" w:cs="Times New Roman"/>
          <w:sz w:val="28"/>
          <w:szCs w:val="28"/>
        </w:rPr>
        <w:t xml:space="preserve"> был проведён мониторинг 5ти образовател</w:t>
      </w:r>
      <w:r w:rsidR="00C53E05">
        <w:rPr>
          <w:rFonts w:ascii="Times New Roman" w:hAnsi="Times New Roman" w:cs="Times New Roman"/>
          <w:sz w:val="28"/>
          <w:szCs w:val="28"/>
        </w:rPr>
        <w:t xml:space="preserve">ьных областей, который показал </w:t>
      </w:r>
      <w:r w:rsidR="008671FE">
        <w:rPr>
          <w:rFonts w:ascii="Times New Roman" w:hAnsi="Times New Roman" w:cs="Times New Roman"/>
          <w:sz w:val="28"/>
          <w:szCs w:val="28"/>
        </w:rPr>
        <w:t xml:space="preserve">низкий </w:t>
      </w:r>
      <w:r w:rsidR="00C53E05" w:rsidRPr="0096522C">
        <w:rPr>
          <w:rFonts w:ascii="Times New Roman" w:hAnsi="Times New Roman" w:cs="Times New Roman"/>
          <w:sz w:val="28"/>
          <w:szCs w:val="28"/>
        </w:rPr>
        <w:t>уровень знаний.</w:t>
      </w:r>
    </w:p>
    <w:p w:rsidR="00C53E05" w:rsidRPr="0096522C" w:rsidRDefault="00C53E05" w:rsidP="00C53E05">
      <w:pPr>
        <w:rPr>
          <w:rFonts w:ascii="Times New Roman" w:hAnsi="Times New Roman" w:cs="Times New Roman"/>
          <w:sz w:val="28"/>
          <w:szCs w:val="28"/>
        </w:rPr>
      </w:pPr>
      <w:r w:rsidRPr="0096522C">
        <w:rPr>
          <w:rFonts w:ascii="Times New Roman" w:hAnsi="Times New Roman" w:cs="Times New Roman"/>
          <w:sz w:val="28"/>
          <w:szCs w:val="28"/>
        </w:rPr>
        <w:t xml:space="preserve">Поэтому был намечен ряд мероприятий </w:t>
      </w:r>
      <w:r w:rsidR="008671FE">
        <w:rPr>
          <w:rFonts w:ascii="Times New Roman" w:hAnsi="Times New Roman" w:cs="Times New Roman"/>
          <w:sz w:val="28"/>
          <w:szCs w:val="28"/>
        </w:rPr>
        <w:t xml:space="preserve">позволяющий </w:t>
      </w:r>
      <w:proofErr w:type="gramStart"/>
      <w:r w:rsidRPr="0096522C">
        <w:rPr>
          <w:rFonts w:ascii="Times New Roman" w:hAnsi="Times New Roman" w:cs="Times New Roman"/>
          <w:sz w:val="28"/>
          <w:szCs w:val="28"/>
        </w:rPr>
        <w:t>помочь</w:t>
      </w:r>
      <w:proofErr w:type="gramEnd"/>
      <w:r w:rsidRPr="0096522C">
        <w:rPr>
          <w:rFonts w:ascii="Times New Roman" w:hAnsi="Times New Roman" w:cs="Times New Roman"/>
          <w:sz w:val="28"/>
          <w:szCs w:val="28"/>
        </w:rPr>
        <w:t xml:space="preserve"> поднять уровень подготовки детей. Так в годовой план были внесены и проведены</w:t>
      </w:r>
      <w:proofErr w:type="gramStart"/>
      <w:r w:rsidRPr="0096522C">
        <w:rPr>
          <w:rFonts w:ascii="Times New Roman" w:hAnsi="Times New Roman" w:cs="Times New Roman"/>
          <w:sz w:val="28"/>
          <w:szCs w:val="28"/>
        </w:rPr>
        <w:t xml:space="preserve"> </w:t>
      </w:r>
      <w:r w:rsidR="008671F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671FE">
        <w:rPr>
          <w:rFonts w:ascii="Times New Roman" w:hAnsi="Times New Roman" w:cs="Times New Roman"/>
          <w:sz w:val="28"/>
          <w:szCs w:val="28"/>
        </w:rPr>
        <w:t xml:space="preserve"> «Дидактические  игры</w:t>
      </w:r>
      <w:r w:rsidRPr="0096522C">
        <w:rPr>
          <w:rFonts w:ascii="Times New Roman" w:hAnsi="Times New Roman" w:cs="Times New Roman"/>
          <w:sz w:val="28"/>
          <w:szCs w:val="28"/>
        </w:rPr>
        <w:t>, как средство развития детей раннего возраста», «Сюжетно дидактические игры в развитии математических способностей» и другие. В итоге, диагно</w:t>
      </w:r>
      <w:r w:rsidR="00B97544">
        <w:rPr>
          <w:rFonts w:ascii="Times New Roman" w:hAnsi="Times New Roman" w:cs="Times New Roman"/>
          <w:sz w:val="28"/>
          <w:szCs w:val="28"/>
        </w:rPr>
        <w:t>стика, проведенная в апреле 2021</w:t>
      </w:r>
      <w:r w:rsidRPr="0096522C">
        <w:rPr>
          <w:rFonts w:ascii="Times New Roman" w:hAnsi="Times New Roman" w:cs="Times New Roman"/>
          <w:sz w:val="28"/>
          <w:szCs w:val="28"/>
        </w:rPr>
        <w:t>г. показала, что у детей повысился уровень овладения материалом  по всем пяти образовательным областям. Что позволяет сделать вывод о правильной и планомерной работе в течение года</w:t>
      </w:r>
      <w:r w:rsidR="008671FE">
        <w:rPr>
          <w:rFonts w:ascii="Times New Roman" w:hAnsi="Times New Roman" w:cs="Times New Roman"/>
          <w:sz w:val="28"/>
          <w:szCs w:val="28"/>
        </w:rPr>
        <w:t>.</w:t>
      </w:r>
    </w:p>
    <w:p w:rsidR="000830F3" w:rsidRDefault="000830F3"/>
    <w:sectPr w:rsidR="000830F3" w:rsidSect="00C53E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5"/>
    <w:rsid w:val="000830F3"/>
    <w:rsid w:val="008358C0"/>
    <w:rsid w:val="008671FE"/>
    <w:rsid w:val="00B97544"/>
    <w:rsid w:val="00C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E05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53E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E05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53E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261376"/>
        <c:axId val="152262912"/>
      </c:barChart>
      <c:catAx>
        <c:axId val="152261376"/>
        <c:scaling>
          <c:orientation val="minMax"/>
        </c:scaling>
        <c:delete val="0"/>
        <c:axPos val="b"/>
        <c:majorTickMark val="out"/>
        <c:minorTickMark val="none"/>
        <c:tickLblPos val="nextTo"/>
        <c:crossAx val="152262912"/>
        <c:crosses val="autoZero"/>
        <c:auto val="1"/>
        <c:lblAlgn val="ctr"/>
        <c:lblOffset val="100"/>
        <c:noMultiLvlLbl val="0"/>
      </c:catAx>
      <c:valAx>
        <c:axId val="15226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261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</c:v>
                </c:pt>
                <c:pt idx="1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</c:v>
                </c:pt>
                <c:pt idx="1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432576"/>
        <c:axId val="151450752"/>
      </c:barChart>
      <c:catAx>
        <c:axId val="151432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51450752"/>
        <c:crosses val="autoZero"/>
        <c:auto val="1"/>
        <c:lblAlgn val="ctr"/>
        <c:lblOffset val="100"/>
        <c:noMultiLvlLbl val="0"/>
      </c:catAx>
      <c:valAx>
        <c:axId val="151450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432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</c:v>
                </c:pt>
                <c:pt idx="1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19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173440"/>
        <c:axId val="158179328"/>
      </c:barChart>
      <c:catAx>
        <c:axId val="158173440"/>
        <c:scaling>
          <c:orientation val="minMax"/>
        </c:scaling>
        <c:delete val="0"/>
        <c:axPos val="b"/>
        <c:majorTickMark val="out"/>
        <c:minorTickMark val="none"/>
        <c:tickLblPos val="nextTo"/>
        <c:crossAx val="158179328"/>
        <c:crosses val="autoZero"/>
        <c:auto val="1"/>
        <c:lblAlgn val="ctr"/>
        <c:lblOffset val="100"/>
        <c:noMultiLvlLbl val="0"/>
      </c:catAx>
      <c:valAx>
        <c:axId val="158179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173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994165099441311"/>
          <c:y val="4.8071199221924668E-2"/>
          <c:w val="0.50288603688318501"/>
          <c:h val="0.545270927428487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188672"/>
        <c:axId val="158190208"/>
      </c:barChart>
      <c:catAx>
        <c:axId val="158188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58190208"/>
        <c:crosses val="autoZero"/>
        <c:auto val="1"/>
        <c:lblAlgn val="ctr"/>
        <c:lblOffset val="100"/>
        <c:noMultiLvlLbl val="0"/>
      </c:catAx>
      <c:valAx>
        <c:axId val="15819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188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479584039336852E-2"/>
          <c:y val="6.2944047881865237E-2"/>
          <c:w val="0.53569513937340107"/>
          <c:h val="0.774740353717467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144960"/>
        <c:axId val="159159040"/>
      </c:barChart>
      <c:catAx>
        <c:axId val="159144960"/>
        <c:scaling>
          <c:orientation val="minMax"/>
        </c:scaling>
        <c:delete val="0"/>
        <c:axPos val="b"/>
        <c:majorTickMark val="out"/>
        <c:minorTickMark val="none"/>
        <c:tickLblPos val="nextTo"/>
        <c:crossAx val="159159040"/>
        <c:crosses val="autoZero"/>
        <c:auto val="1"/>
        <c:lblAlgn val="ctr"/>
        <c:lblOffset val="100"/>
        <c:noMultiLvlLbl val="0"/>
      </c:catAx>
      <c:valAx>
        <c:axId val="159159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144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Svetlychok_MK</cp:lastModifiedBy>
  <cp:revision>4</cp:revision>
  <dcterms:created xsi:type="dcterms:W3CDTF">2018-12-10T09:14:00Z</dcterms:created>
  <dcterms:modified xsi:type="dcterms:W3CDTF">2023-03-02T07:05:00Z</dcterms:modified>
</cp:coreProperties>
</file>